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3725FA68" w:rsidR="00E90E49" w:rsidRPr="0066705B" w:rsidRDefault="00E90E49" w:rsidP="00E35559">
      <w:pPr>
        <w:pStyle w:val="3GPPHeader"/>
        <w:spacing w:after="60"/>
        <w:rPr>
          <w:sz w:val="32"/>
          <w:szCs w:val="32"/>
          <w:highlight w:val="yellow"/>
          <w:lang w:val="en-US"/>
        </w:rPr>
      </w:pPr>
      <w:r w:rsidRPr="0066705B">
        <w:rPr>
          <w:lang w:val="en-US"/>
        </w:rPr>
        <w:t>3GPP TSG-RAN WG</w:t>
      </w:r>
      <w:r w:rsidR="008F1C4E" w:rsidRPr="0066705B">
        <w:rPr>
          <w:lang w:val="en-US"/>
        </w:rPr>
        <w:t>1</w:t>
      </w:r>
      <w:r w:rsidRPr="0066705B">
        <w:rPr>
          <w:lang w:val="en-US"/>
        </w:rPr>
        <w:t xml:space="preserve"> </w:t>
      </w:r>
      <w:r w:rsidR="008F1C4E" w:rsidRPr="0066705B">
        <w:rPr>
          <w:lang w:val="en-US"/>
        </w:rPr>
        <w:t xml:space="preserve">Meeting </w:t>
      </w:r>
      <w:r w:rsidRPr="0066705B">
        <w:rPr>
          <w:lang w:val="en-US"/>
        </w:rPr>
        <w:t>#</w:t>
      </w:r>
      <w:r w:rsidR="000A28D9" w:rsidRPr="0066705B">
        <w:rPr>
          <w:lang w:val="en-US"/>
        </w:rPr>
        <w:t>97</w:t>
      </w:r>
      <w:r w:rsidRPr="0066705B">
        <w:rPr>
          <w:lang w:val="en-US"/>
        </w:rPr>
        <w:tab/>
      </w:r>
      <w:proofErr w:type="spellStart"/>
      <w:r w:rsidRPr="0066705B">
        <w:rPr>
          <w:sz w:val="32"/>
          <w:szCs w:val="32"/>
          <w:lang w:val="en-US"/>
        </w:rPr>
        <w:t>Tdoc</w:t>
      </w:r>
      <w:proofErr w:type="spellEnd"/>
      <w:r w:rsidRPr="0066705B">
        <w:rPr>
          <w:sz w:val="32"/>
          <w:szCs w:val="32"/>
          <w:lang w:val="en-US"/>
        </w:rPr>
        <w:t xml:space="preserve"> </w:t>
      </w:r>
      <w:r w:rsidR="00091557" w:rsidRPr="0066705B">
        <w:rPr>
          <w:sz w:val="32"/>
          <w:szCs w:val="32"/>
          <w:lang w:val="en-US"/>
        </w:rPr>
        <w:t>R</w:t>
      </w:r>
      <w:r w:rsidR="008F1C4E" w:rsidRPr="0066705B">
        <w:rPr>
          <w:sz w:val="32"/>
          <w:szCs w:val="32"/>
          <w:lang w:val="en-US"/>
        </w:rPr>
        <w:t>1</w:t>
      </w:r>
      <w:r w:rsidR="00091557" w:rsidRPr="0066705B">
        <w:rPr>
          <w:sz w:val="32"/>
          <w:szCs w:val="32"/>
          <w:lang w:val="en-US"/>
        </w:rPr>
        <w:t>-</w:t>
      </w:r>
      <w:r w:rsidR="005F3025" w:rsidRPr="0066705B">
        <w:rPr>
          <w:sz w:val="32"/>
          <w:szCs w:val="32"/>
          <w:lang w:val="en-US"/>
        </w:rPr>
        <w:t>1</w:t>
      </w:r>
      <w:r w:rsidR="008C5CA5" w:rsidRPr="0066705B">
        <w:rPr>
          <w:sz w:val="32"/>
          <w:szCs w:val="32"/>
          <w:lang w:val="en-US"/>
        </w:rPr>
        <w:t>9</w:t>
      </w:r>
      <w:bookmarkStart w:id="0" w:name="_GoBack"/>
      <w:bookmarkEnd w:id="0"/>
      <w:r w:rsidR="00926C3C" w:rsidRPr="00926C3C">
        <w:rPr>
          <w:sz w:val="32"/>
          <w:szCs w:val="32"/>
          <w:lang w:val="en-US"/>
        </w:rPr>
        <w:t>07476</w:t>
      </w:r>
    </w:p>
    <w:p w14:paraId="77D8DE88" w14:textId="35E9F0A4" w:rsidR="00E90E49" w:rsidRPr="0066705B" w:rsidRDefault="000A28D9" w:rsidP="00311702">
      <w:pPr>
        <w:pStyle w:val="3GPPHeader"/>
        <w:rPr>
          <w:lang w:val="en-US"/>
        </w:rPr>
      </w:pPr>
      <w:r w:rsidRPr="0066705B">
        <w:rPr>
          <w:lang w:val="en-US"/>
        </w:rPr>
        <w:t>Reno, USA, May 13</w:t>
      </w:r>
      <w:r w:rsidRPr="0066705B">
        <w:rPr>
          <w:vertAlign w:val="superscript"/>
          <w:lang w:val="en-US"/>
        </w:rPr>
        <w:t>th</w:t>
      </w:r>
      <w:r w:rsidRPr="0066705B">
        <w:rPr>
          <w:lang w:val="en-US"/>
        </w:rPr>
        <w:t>-17</w:t>
      </w:r>
      <w:r w:rsidRPr="0066705B">
        <w:rPr>
          <w:vertAlign w:val="superscript"/>
          <w:lang w:val="en-US"/>
        </w:rPr>
        <w:t>th</w:t>
      </w:r>
      <w:r w:rsidRPr="0066705B">
        <w:rPr>
          <w:lang w:val="en-US"/>
        </w:rPr>
        <w:t>, 2019</w:t>
      </w:r>
    </w:p>
    <w:p w14:paraId="55DDF9AC" w14:textId="77777777" w:rsidR="00E90E49" w:rsidRPr="0066705B" w:rsidRDefault="00E90E49" w:rsidP="00357380">
      <w:pPr>
        <w:pStyle w:val="3GPPHeader"/>
        <w:rPr>
          <w:lang w:val="en-US"/>
        </w:rPr>
      </w:pPr>
    </w:p>
    <w:p w14:paraId="3FC01579" w14:textId="4DD3B7DD" w:rsidR="00E90E49" w:rsidRPr="0066705B" w:rsidRDefault="00E90E49" w:rsidP="00311702">
      <w:pPr>
        <w:pStyle w:val="3GPPHeader"/>
        <w:rPr>
          <w:sz w:val="22"/>
          <w:lang w:val="en-US"/>
        </w:rPr>
      </w:pPr>
      <w:r w:rsidRPr="0066705B">
        <w:rPr>
          <w:sz w:val="22"/>
          <w:lang w:val="en-US"/>
        </w:rPr>
        <w:t>Agenda Item:</w:t>
      </w:r>
      <w:r w:rsidRPr="0066705B">
        <w:rPr>
          <w:sz w:val="22"/>
          <w:lang w:val="en-US"/>
        </w:rPr>
        <w:tab/>
      </w:r>
      <w:r w:rsidR="000A28D9" w:rsidRPr="0066705B">
        <w:rPr>
          <w:sz w:val="22"/>
          <w:lang w:val="en-US"/>
        </w:rPr>
        <w:t>7.2.8.5</w:t>
      </w:r>
    </w:p>
    <w:p w14:paraId="4704A291" w14:textId="77777777" w:rsidR="00E90E49" w:rsidRPr="0066705B" w:rsidRDefault="003D3C45" w:rsidP="00F64C2B">
      <w:pPr>
        <w:pStyle w:val="3GPPHeader"/>
        <w:rPr>
          <w:sz w:val="22"/>
          <w:lang w:val="en-US"/>
        </w:rPr>
      </w:pPr>
      <w:r w:rsidRPr="0066705B">
        <w:rPr>
          <w:sz w:val="22"/>
          <w:lang w:val="en-US"/>
        </w:rPr>
        <w:t>Source:</w:t>
      </w:r>
      <w:r w:rsidR="00E90E49" w:rsidRPr="0066705B">
        <w:rPr>
          <w:sz w:val="22"/>
          <w:lang w:val="en-US"/>
        </w:rPr>
        <w:tab/>
      </w:r>
      <w:r w:rsidR="00F64C2B" w:rsidRPr="0066705B">
        <w:rPr>
          <w:sz w:val="22"/>
          <w:lang w:val="en-US"/>
        </w:rPr>
        <w:t>Ericsson</w:t>
      </w:r>
    </w:p>
    <w:p w14:paraId="17DD65D3" w14:textId="226BC15A" w:rsidR="00E90E49" w:rsidRPr="0066705B" w:rsidRDefault="003D3C45" w:rsidP="00311702">
      <w:pPr>
        <w:pStyle w:val="3GPPHeader"/>
        <w:rPr>
          <w:sz w:val="22"/>
          <w:lang w:val="en-US"/>
        </w:rPr>
      </w:pPr>
      <w:r w:rsidRPr="0066705B">
        <w:rPr>
          <w:sz w:val="22"/>
          <w:lang w:val="en-US"/>
        </w:rPr>
        <w:t>Title:</w:t>
      </w:r>
      <w:r w:rsidR="00E90E49" w:rsidRPr="0066705B">
        <w:rPr>
          <w:sz w:val="22"/>
          <w:lang w:val="en-US"/>
        </w:rPr>
        <w:tab/>
      </w:r>
      <w:bookmarkStart w:id="1" w:name="_Hlk7722239"/>
      <w:r w:rsidR="007A0EA1" w:rsidRPr="0066705B">
        <w:rPr>
          <w:sz w:val="22"/>
          <w:lang w:val="en-US"/>
        </w:rPr>
        <w:t xml:space="preserve">Performance of P-MPR-aware </w:t>
      </w:r>
      <w:r w:rsidR="008C5CA5" w:rsidRPr="0066705B">
        <w:rPr>
          <w:sz w:val="22"/>
          <w:lang w:val="en-US"/>
        </w:rPr>
        <w:t>multi-panel scheduling</w:t>
      </w:r>
    </w:p>
    <w:bookmarkEnd w:id="1"/>
    <w:p w14:paraId="23981EA1" w14:textId="77777777" w:rsidR="00E90E49" w:rsidRPr="0066705B" w:rsidRDefault="00E90E49" w:rsidP="00D546FF">
      <w:pPr>
        <w:pStyle w:val="3GPPHeader"/>
        <w:rPr>
          <w:sz w:val="22"/>
          <w:lang w:val="en-US"/>
        </w:rPr>
      </w:pPr>
      <w:r w:rsidRPr="0066705B">
        <w:rPr>
          <w:sz w:val="22"/>
          <w:lang w:val="en-US"/>
        </w:rPr>
        <w:t>Document for:</w:t>
      </w:r>
      <w:r w:rsidRPr="0066705B">
        <w:rPr>
          <w:sz w:val="22"/>
          <w:lang w:val="en-US"/>
        </w:rPr>
        <w:tab/>
        <w:t>Discussion, Decision</w:t>
      </w:r>
    </w:p>
    <w:p w14:paraId="1DDBCB33" w14:textId="77777777" w:rsidR="00E90E49" w:rsidRPr="0066705B"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5310DA9" w14:textId="37D98565" w:rsidR="00477768" w:rsidRPr="0066705B" w:rsidRDefault="00591D5E" w:rsidP="00CE0424">
      <w:pPr>
        <w:pStyle w:val="BodyText"/>
        <w:rPr>
          <w:lang w:val="en-US"/>
        </w:rPr>
      </w:pPr>
      <w:r w:rsidRPr="0066705B">
        <w:rPr>
          <w:lang w:val="en-US"/>
        </w:rPr>
        <w:t>In RAN1#96bis, the following was agreed:</w:t>
      </w:r>
    </w:p>
    <w:p w14:paraId="2EDF571F" w14:textId="26EC8279" w:rsidR="00591D5E" w:rsidRDefault="00591D5E" w:rsidP="00CE0424">
      <w:pPr>
        <w:pStyle w:val="BodyText"/>
      </w:pPr>
      <w:r>
        <w:rPr>
          <w:noProof/>
        </w:rPr>
        <mc:AlternateContent>
          <mc:Choice Requires="wps">
            <w:drawing>
              <wp:inline distT="0" distB="0" distL="0" distR="0" wp14:anchorId="225C1936" wp14:editId="2516FA84">
                <wp:extent cx="6134100" cy="1200150"/>
                <wp:effectExtent l="0" t="0" r="19050" b="12065"/>
                <wp:docPr id="1" name="Text Box 1"/>
                <wp:cNvGraphicFramePr/>
                <a:graphic xmlns:a="http://schemas.openxmlformats.org/drawingml/2006/main">
                  <a:graphicData uri="http://schemas.microsoft.com/office/word/2010/wordprocessingShape">
                    <wps:wsp>
                      <wps:cNvSpPr txBox="1"/>
                      <wps:spPr>
                        <a:xfrm>
                          <a:off x="0" y="0"/>
                          <a:ext cx="6134100" cy="1200150"/>
                        </a:xfrm>
                        <a:prstGeom prst="rect">
                          <a:avLst/>
                        </a:prstGeom>
                        <a:solidFill>
                          <a:schemeClr val="lt1"/>
                        </a:solidFill>
                        <a:ln w="6350">
                          <a:solidFill>
                            <a:prstClr val="black"/>
                          </a:solidFill>
                        </a:ln>
                      </wps:spPr>
                      <wps:txbx>
                        <w:txbxContent>
                          <w:p w14:paraId="6B08085B" w14:textId="77777777" w:rsidR="00591D5E" w:rsidRPr="0066705B" w:rsidRDefault="00591D5E" w:rsidP="00591D5E">
                            <w:pPr>
                              <w:contextualSpacing/>
                              <w:rPr>
                                <w:b/>
                                <w:highlight w:val="green"/>
                                <w:lang w:val="en-US" w:eastAsia="x-none"/>
                              </w:rPr>
                            </w:pPr>
                            <w:r w:rsidRPr="0066705B">
                              <w:rPr>
                                <w:b/>
                                <w:highlight w:val="green"/>
                                <w:lang w:val="en-US" w:eastAsia="x-none"/>
                              </w:rPr>
                              <w:t>Agreement</w:t>
                            </w:r>
                          </w:p>
                          <w:p w14:paraId="2E3583EB" w14:textId="77777777" w:rsidR="00591D5E" w:rsidRPr="0066705B" w:rsidRDefault="00591D5E" w:rsidP="00591D5E">
                            <w:pPr>
                              <w:snapToGrid w:val="0"/>
                              <w:contextualSpacing/>
                              <w:rPr>
                                <w:lang w:val="en-US"/>
                              </w:rPr>
                            </w:pPr>
                            <w:r w:rsidRPr="0066705B">
                              <w:rPr>
                                <w:lang w:val="en-US"/>
                              </w:rPr>
                              <w:t>In Rel-16, only introduce specification enhancement for MPUE-Assumption3</w:t>
                            </w:r>
                          </w:p>
                          <w:p w14:paraId="5612A7C2" w14:textId="77777777" w:rsidR="00591D5E" w:rsidRPr="0066705B" w:rsidRDefault="00591D5E" w:rsidP="00591D5E">
                            <w:pPr>
                              <w:numPr>
                                <w:ilvl w:val="0"/>
                                <w:numId w:val="23"/>
                              </w:numPr>
                              <w:snapToGrid w:val="0"/>
                              <w:spacing w:after="0"/>
                              <w:contextualSpacing/>
                              <w:rPr>
                                <w:lang w:val="en-US"/>
                              </w:rPr>
                            </w:pPr>
                            <w:r w:rsidRPr="0066705B">
                              <w:rPr>
                                <w:lang w:val="en-US"/>
                              </w:rPr>
                              <w:t>MPUE-Assumption3: Multiple panels are implemented on a UE and multiple panels can be activated at a time but only one panel can be used for transmission.</w:t>
                            </w:r>
                          </w:p>
                          <w:p w14:paraId="24BAB211" w14:textId="77777777" w:rsidR="00591D5E" w:rsidRPr="0066705B" w:rsidRDefault="00591D5E" w:rsidP="00591D5E">
                            <w:pPr>
                              <w:numPr>
                                <w:ilvl w:val="1"/>
                                <w:numId w:val="23"/>
                              </w:numPr>
                              <w:snapToGrid w:val="0"/>
                              <w:spacing w:after="0"/>
                              <w:contextualSpacing/>
                              <w:rPr>
                                <w:lang w:val="en-US"/>
                              </w:rPr>
                            </w:pPr>
                            <w:r w:rsidRPr="0066705B">
                              <w:rPr>
                                <w:lang w:val="en-US"/>
                              </w:rPr>
                              <w:t>Note that this does not require a UE to always activate multi-panels simultaneously</w:t>
                            </w:r>
                          </w:p>
                          <w:p w14:paraId="294E01EE" w14:textId="77777777" w:rsidR="00591D5E" w:rsidRPr="0066705B" w:rsidRDefault="00591D5E" w:rsidP="00591D5E">
                            <w:pPr>
                              <w:numPr>
                                <w:ilvl w:val="1"/>
                                <w:numId w:val="23"/>
                              </w:numPr>
                              <w:snapToGrid w:val="0"/>
                              <w:spacing w:after="0"/>
                              <w:contextualSpacing/>
                              <w:rPr>
                                <w:lang w:val="en-US"/>
                              </w:rPr>
                            </w:pPr>
                            <w:r w:rsidRPr="0066705B">
                              <w:rPr>
                                <w:lang w:val="en-US"/>
                              </w:rPr>
                              <w:t xml:space="preserve">Note: UE can control the panel activation/deactivation </w:t>
                            </w:r>
                          </w:p>
                          <w:p w14:paraId="30ACD371" w14:textId="77777777" w:rsidR="00591D5E" w:rsidRPr="0066705B" w:rsidRDefault="00591D5E" w:rsidP="00591D5E">
                            <w:pPr>
                              <w:numPr>
                                <w:ilvl w:val="0"/>
                                <w:numId w:val="23"/>
                              </w:numPr>
                              <w:snapToGrid w:val="0"/>
                              <w:spacing w:after="0"/>
                              <w:contextualSpacing/>
                              <w:rPr>
                                <w:lang w:val="en-US"/>
                              </w:rPr>
                            </w:pPr>
                            <w:r w:rsidRPr="0066705B">
                              <w:rPr>
                                <w:lang w:val="en-US"/>
                              </w:rPr>
                              <w:t>Possible use cases at least include</w:t>
                            </w:r>
                          </w:p>
                          <w:p w14:paraId="71385091" w14:textId="77777777" w:rsidR="00591D5E" w:rsidRPr="0066705B" w:rsidRDefault="00591D5E" w:rsidP="00591D5E">
                            <w:pPr>
                              <w:numPr>
                                <w:ilvl w:val="1"/>
                                <w:numId w:val="23"/>
                              </w:numPr>
                              <w:snapToGrid w:val="0"/>
                              <w:spacing w:after="0"/>
                              <w:contextualSpacing/>
                              <w:rPr>
                                <w:lang w:val="en-US"/>
                              </w:rPr>
                            </w:pPr>
                            <w:r w:rsidRPr="0066705B">
                              <w:rPr>
                                <w:lang w:val="en-US"/>
                              </w:rPr>
                              <w:t xml:space="preserve">(General) UL coverage enhancement for FR2 considering the UE power consumption </w:t>
                            </w:r>
                          </w:p>
                          <w:p w14:paraId="1877C590" w14:textId="77777777" w:rsidR="00591D5E" w:rsidRPr="0066705B" w:rsidRDefault="00591D5E" w:rsidP="00591D5E">
                            <w:pPr>
                              <w:numPr>
                                <w:ilvl w:val="0"/>
                                <w:numId w:val="23"/>
                              </w:numPr>
                              <w:snapToGrid w:val="0"/>
                              <w:spacing w:after="0"/>
                              <w:contextualSpacing/>
                              <w:rPr>
                                <w:lang w:val="en-US"/>
                              </w:rPr>
                            </w:pPr>
                            <w:r w:rsidRPr="0066705B">
                              <w:rPr>
                                <w:lang w:val="en-US"/>
                              </w:rPr>
                              <w:t>Discussion topics in Rel-16 include:</w:t>
                            </w:r>
                          </w:p>
                          <w:p w14:paraId="45E2D498" w14:textId="77777777" w:rsidR="00591D5E" w:rsidRPr="0066705B" w:rsidRDefault="00591D5E" w:rsidP="00591D5E">
                            <w:pPr>
                              <w:numPr>
                                <w:ilvl w:val="1"/>
                                <w:numId w:val="23"/>
                              </w:numPr>
                              <w:snapToGrid w:val="0"/>
                              <w:spacing w:after="0"/>
                              <w:contextualSpacing/>
                              <w:rPr>
                                <w:lang w:val="en-US"/>
                              </w:rPr>
                            </w:pPr>
                            <w:r w:rsidRPr="0066705B">
                              <w:rPr>
                                <w:lang w:val="en-US"/>
                              </w:rPr>
                              <w:t>Details on the identification for a panel and corresponding panel definition</w:t>
                            </w:r>
                          </w:p>
                          <w:p w14:paraId="2A02964C" w14:textId="77777777" w:rsidR="00591D5E" w:rsidRPr="0066705B" w:rsidRDefault="00591D5E" w:rsidP="00591D5E">
                            <w:pPr>
                              <w:numPr>
                                <w:ilvl w:val="0"/>
                                <w:numId w:val="23"/>
                              </w:numPr>
                              <w:snapToGrid w:val="0"/>
                              <w:spacing w:after="0"/>
                              <w:contextualSpacing/>
                              <w:rPr>
                                <w:lang w:val="en-US"/>
                              </w:rPr>
                            </w:pPr>
                            <w:r w:rsidRPr="0066705B">
                              <w:rPr>
                                <w:lang w:val="en-US"/>
                              </w:rPr>
                              <w:t xml:space="preserve">Any enhancement introduced in Rel-16 should take further enhancement of simultaneous transmission across multiple panels for future releases into account. </w:t>
                            </w:r>
                          </w:p>
                          <w:p w14:paraId="2F04F7B8" w14:textId="44846A3D" w:rsidR="00591D5E" w:rsidRPr="0066705B" w:rsidRDefault="00591D5E" w:rsidP="00591D5E">
                            <w:pPr>
                              <w:snapToGrid w:val="0"/>
                              <w:contextualSpacing/>
                              <w:rPr>
                                <w:lang w:val="en-US"/>
                              </w:rPr>
                            </w:pPr>
                            <w:r w:rsidRPr="0066705B">
                              <w:rPr>
                                <w:lang w:val="en-US"/>
                              </w:rPr>
                              <w:t>This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25C1936" id="_x0000_t202" coordsize="21600,21600" o:spt="202" path="m,l,21600r21600,l21600,xe">
                <v:stroke joinstyle="miter"/>
                <v:path gradientshapeok="t" o:connecttype="rect"/>
              </v:shapetype>
              <v:shape id="Text Box 1" o:spid="_x0000_s1026" type="#_x0000_t202" style="width:483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" fillcolor="white [3201]" strokeweight=".5pt">
                <v:textbox style="mso-fit-shape-to-text:t">
                  <w:txbxContent>
                    <w:p w14:paraId="6B08085B" w14:textId="77777777" w:rsidR="00591D5E" w:rsidRPr="0066705B" w:rsidRDefault="00591D5E" w:rsidP="00591D5E">
                      <w:pPr>
                        <w:contextualSpacing/>
                        <w:rPr>
                          <w:b/>
                          <w:highlight w:val="green"/>
                          <w:lang w:val="en-US" w:eastAsia="x-none"/>
                        </w:rPr>
                      </w:pPr>
                      <w:r w:rsidRPr="0066705B">
                        <w:rPr>
                          <w:b/>
                          <w:highlight w:val="green"/>
                          <w:lang w:val="en-US" w:eastAsia="x-none"/>
                        </w:rPr>
                        <w:t>Agreement</w:t>
                      </w:r>
                    </w:p>
                    <w:p w14:paraId="2E3583EB" w14:textId="77777777" w:rsidR="00591D5E" w:rsidRPr="0066705B" w:rsidRDefault="00591D5E" w:rsidP="00591D5E">
                      <w:pPr>
                        <w:snapToGrid w:val="0"/>
                        <w:contextualSpacing/>
                        <w:rPr>
                          <w:lang w:val="en-US"/>
                        </w:rPr>
                      </w:pPr>
                      <w:r w:rsidRPr="0066705B">
                        <w:rPr>
                          <w:lang w:val="en-US"/>
                        </w:rPr>
                        <w:t>In Rel-16, only introduce specification enhancement for MPUE-Assumption3</w:t>
                      </w:r>
                    </w:p>
                    <w:p w14:paraId="5612A7C2" w14:textId="77777777" w:rsidR="00591D5E" w:rsidRPr="0066705B" w:rsidRDefault="00591D5E" w:rsidP="00591D5E">
                      <w:pPr>
                        <w:numPr>
                          <w:ilvl w:val="0"/>
                          <w:numId w:val="23"/>
                        </w:numPr>
                        <w:snapToGrid w:val="0"/>
                        <w:spacing w:after="0"/>
                        <w:contextualSpacing/>
                        <w:rPr>
                          <w:lang w:val="en-US"/>
                        </w:rPr>
                      </w:pPr>
                      <w:r w:rsidRPr="0066705B">
                        <w:rPr>
                          <w:lang w:val="en-US"/>
                        </w:rPr>
                        <w:t>MPUE-Assumption3: Multiple panels are implemented on a UE and multiple panels can be activated at a time but only one panel can be used for transmission.</w:t>
                      </w:r>
                    </w:p>
                    <w:p w14:paraId="24BAB211" w14:textId="77777777" w:rsidR="00591D5E" w:rsidRPr="0066705B" w:rsidRDefault="00591D5E" w:rsidP="00591D5E">
                      <w:pPr>
                        <w:numPr>
                          <w:ilvl w:val="1"/>
                          <w:numId w:val="23"/>
                        </w:numPr>
                        <w:snapToGrid w:val="0"/>
                        <w:spacing w:after="0"/>
                        <w:contextualSpacing/>
                        <w:rPr>
                          <w:lang w:val="en-US"/>
                        </w:rPr>
                      </w:pPr>
                      <w:r w:rsidRPr="0066705B">
                        <w:rPr>
                          <w:lang w:val="en-US"/>
                        </w:rPr>
                        <w:t>Note that this does not require a UE to always activate multi-panels simultaneously</w:t>
                      </w:r>
                    </w:p>
                    <w:p w14:paraId="294E01EE" w14:textId="77777777" w:rsidR="00591D5E" w:rsidRPr="0066705B" w:rsidRDefault="00591D5E" w:rsidP="00591D5E">
                      <w:pPr>
                        <w:numPr>
                          <w:ilvl w:val="1"/>
                          <w:numId w:val="23"/>
                        </w:numPr>
                        <w:snapToGrid w:val="0"/>
                        <w:spacing w:after="0"/>
                        <w:contextualSpacing/>
                        <w:rPr>
                          <w:lang w:val="en-US"/>
                        </w:rPr>
                      </w:pPr>
                      <w:r w:rsidRPr="0066705B">
                        <w:rPr>
                          <w:lang w:val="en-US"/>
                        </w:rPr>
                        <w:t xml:space="preserve">Note: UE can control the panel activation/deactivation </w:t>
                      </w:r>
                    </w:p>
                    <w:p w14:paraId="30ACD371" w14:textId="77777777" w:rsidR="00591D5E" w:rsidRPr="0066705B" w:rsidRDefault="00591D5E" w:rsidP="00591D5E">
                      <w:pPr>
                        <w:numPr>
                          <w:ilvl w:val="0"/>
                          <w:numId w:val="23"/>
                        </w:numPr>
                        <w:snapToGrid w:val="0"/>
                        <w:spacing w:after="0"/>
                        <w:contextualSpacing/>
                        <w:rPr>
                          <w:lang w:val="en-US"/>
                        </w:rPr>
                      </w:pPr>
                      <w:r w:rsidRPr="0066705B">
                        <w:rPr>
                          <w:lang w:val="en-US"/>
                        </w:rPr>
                        <w:t>Possible use cases at least include</w:t>
                      </w:r>
                    </w:p>
                    <w:p w14:paraId="71385091" w14:textId="77777777" w:rsidR="00591D5E" w:rsidRPr="0066705B" w:rsidRDefault="00591D5E" w:rsidP="00591D5E">
                      <w:pPr>
                        <w:numPr>
                          <w:ilvl w:val="1"/>
                          <w:numId w:val="23"/>
                        </w:numPr>
                        <w:snapToGrid w:val="0"/>
                        <w:spacing w:after="0"/>
                        <w:contextualSpacing/>
                        <w:rPr>
                          <w:lang w:val="en-US"/>
                        </w:rPr>
                      </w:pPr>
                      <w:r w:rsidRPr="0066705B">
                        <w:rPr>
                          <w:lang w:val="en-US"/>
                        </w:rPr>
                        <w:t xml:space="preserve">(General) UL coverage enhancement for FR2 considering the UE power consumption </w:t>
                      </w:r>
                    </w:p>
                    <w:p w14:paraId="1877C590" w14:textId="77777777" w:rsidR="00591D5E" w:rsidRPr="0066705B" w:rsidRDefault="00591D5E" w:rsidP="00591D5E">
                      <w:pPr>
                        <w:numPr>
                          <w:ilvl w:val="0"/>
                          <w:numId w:val="23"/>
                        </w:numPr>
                        <w:snapToGrid w:val="0"/>
                        <w:spacing w:after="0"/>
                        <w:contextualSpacing/>
                        <w:rPr>
                          <w:lang w:val="en-US"/>
                        </w:rPr>
                      </w:pPr>
                      <w:r w:rsidRPr="0066705B">
                        <w:rPr>
                          <w:lang w:val="en-US"/>
                        </w:rPr>
                        <w:t>Discussion topics in Rel-16 include:</w:t>
                      </w:r>
                    </w:p>
                    <w:p w14:paraId="45E2D498" w14:textId="77777777" w:rsidR="00591D5E" w:rsidRPr="0066705B" w:rsidRDefault="00591D5E" w:rsidP="00591D5E">
                      <w:pPr>
                        <w:numPr>
                          <w:ilvl w:val="1"/>
                          <w:numId w:val="23"/>
                        </w:numPr>
                        <w:snapToGrid w:val="0"/>
                        <w:spacing w:after="0"/>
                        <w:contextualSpacing/>
                        <w:rPr>
                          <w:lang w:val="en-US"/>
                        </w:rPr>
                      </w:pPr>
                      <w:r w:rsidRPr="0066705B">
                        <w:rPr>
                          <w:lang w:val="en-US"/>
                        </w:rPr>
                        <w:t>Details on the identification for a panel and corresponding panel definition</w:t>
                      </w:r>
                    </w:p>
                    <w:p w14:paraId="2A02964C" w14:textId="77777777" w:rsidR="00591D5E" w:rsidRPr="0066705B" w:rsidRDefault="00591D5E" w:rsidP="00591D5E">
                      <w:pPr>
                        <w:numPr>
                          <w:ilvl w:val="0"/>
                          <w:numId w:val="23"/>
                        </w:numPr>
                        <w:snapToGrid w:val="0"/>
                        <w:spacing w:after="0"/>
                        <w:contextualSpacing/>
                        <w:rPr>
                          <w:lang w:val="en-US"/>
                        </w:rPr>
                      </w:pPr>
                      <w:r w:rsidRPr="0066705B">
                        <w:rPr>
                          <w:lang w:val="en-US"/>
                        </w:rPr>
                        <w:t xml:space="preserve">Any enhancement introduced in Rel-16 should take further enhancement of simultaneous transmission across multiple panels for future releases into account. </w:t>
                      </w:r>
                    </w:p>
                    <w:p w14:paraId="2F04F7B8" w14:textId="44846A3D" w:rsidR="00591D5E" w:rsidRPr="0066705B" w:rsidRDefault="00591D5E" w:rsidP="00591D5E">
                      <w:pPr>
                        <w:snapToGrid w:val="0"/>
                        <w:contextualSpacing/>
                        <w:rPr>
                          <w:lang w:val="en-US"/>
                        </w:rPr>
                      </w:pPr>
                      <w:r w:rsidRPr="0066705B">
                        <w:rPr>
                          <w:lang w:val="en-US"/>
                        </w:rPr>
                        <w:t>This is a UE optional feature</w:t>
                      </w:r>
                    </w:p>
                  </w:txbxContent>
                </v:textbox>
                <w10:anchorlock/>
              </v:shape>
            </w:pict>
          </mc:Fallback>
        </mc:AlternateContent>
      </w:r>
    </w:p>
    <w:p w14:paraId="5A562D67" w14:textId="36843AF9" w:rsidR="00591D5E" w:rsidRPr="0066705B" w:rsidRDefault="00591D5E" w:rsidP="00CE0424">
      <w:pPr>
        <w:pStyle w:val="BodyText"/>
        <w:rPr>
          <w:lang w:val="en-US"/>
        </w:rPr>
      </w:pPr>
      <w:r w:rsidRPr="0066705B">
        <w:rPr>
          <w:lang w:val="en-US"/>
        </w:rPr>
        <w:t xml:space="preserve">One use case of multi-panel UL transmission is to </w:t>
      </w:r>
      <w:r w:rsidR="00283DBA" w:rsidRPr="0066705B">
        <w:rPr>
          <w:lang w:val="en-US"/>
        </w:rPr>
        <w:t xml:space="preserve">maintain coverage, while </w:t>
      </w:r>
      <w:r w:rsidRPr="0066705B">
        <w:rPr>
          <w:lang w:val="en-US"/>
        </w:rPr>
        <w:t>reduc</w:t>
      </w:r>
      <w:r w:rsidR="00283DBA" w:rsidRPr="0066705B">
        <w:rPr>
          <w:lang w:val="en-US"/>
        </w:rPr>
        <w:t>ing the</w:t>
      </w:r>
      <w:r w:rsidRPr="0066705B">
        <w:rPr>
          <w:lang w:val="en-US"/>
        </w:rPr>
        <w:t xml:space="preserve"> RF exposure.</w:t>
      </w:r>
    </w:p>
    <w:p w14:paraId="29E7053E" w14:textId="2D52A431" w:rsidR="00591D5E" w:rsidRPr="0066705B" w:rsidRDefault="00591D5E" w:rsidP="00CE0424">
      <w:pPr>
        <w:pStyle w:val="BodyText"/>
        <w:rPr>
          <w:lang w:val="en-US"/>
        </w:rPr>
      </w:pPr>
      <w:r w:rsidRPr="0066705B">
        <w:rPr>
          <w:lang w:val="en-US"/>
        </w:rPr>
        <w:t xml:space="preserve">In this contribution, we investigate </w:t>
      </w:r>
      <w:r w:rsidR="00283DBA" w:rsidRPr="0066705B">
        <w:rPr>
          <w:lang w:val="en-US"/>
        </w:rPr>
        <w:t>to what extent UL multi-panel scheduling can be used to reduce the emission in certain directions while still maintaining the quality of the connection.</w:t>
      </w:r>
    </w:p>
    <w:p w14:paraId="65E5E40F" w14:textId="5671AEC9" w:rsidR="004000E8" w:rsidRDefault="00230D18" w:rsidP="00CE0424">
      <w:pPr>
        <w:pStyle w:val="Heading1"/>
      </w:pPr>
      <w:bookmarkStart w:id="2" w:name="_Ref178064866"/>
      <w:r>
        <w:t>2</w:t>
      </w:r>
      <w:r>
        <w:tab/>
      </w:r>
      <w:r w:rsidR="004000E8" w:rsidRPr="00CE0424">
        <w:t>Discussion</w:t>
      </w:r>
      <w:bookmarkEnd w:id="2"/>
    </w:p>
    <w:p w14:paraId="2070977E" w14:textId="77777777" w:rsidR="00283DBA" w:rsidRPr="0066705B" w:rsidRDefault="00283DBA" w:rsidP="00283DBA">
      <w:pPr>
        <w:pStyle w:val="BodyText"/>
        <w:rPr>
          <w:lang w:val="en-US"/>
        </w:rPr>
      </w:pPr>
      <w:bookmarkStart w:id="3" w:name="_Hlk7721367"/>
      <w:r w:rsidRPr="0066705B">
        <w:rPr>
          <w:lang w:val="en-US"/>
        </w:rPr>
        <w:t>In Release-16, the only considered enhancements will be related to MPUE-Assumption3: a UE that is equipped with several panels but can only transmit using one at a time. The panels can be activated at the same time, so the NW can instantaneously choose to schedule a transmission from either panel.</w:t>
      </w:r>
    </w:p>
    <w:p w14:paraId="624B3DB1" w14:textId="07801FCF" w:rsidR="00283DBA" w:rsidRPr="0066705B" w:rsidRDefault="00283DBA" w:rsidP="00283DBA">
      <w:pPr>
        <w:pStyle w:val="BodyText"/>
        <w:rPr>
          <w:lang w:val="en-US"/>
        </w:rPr>
      </w:pPr>
      <w:r w:rsidRPr="0066705B">
        <w:rPr>
          <w:lang w:val="en-US"/>
        </w:rPr>
        <w:t xml:space="preserve">The number of panels at the UE </w:t>
      </w:r>
      <w:r w:rsidR="0033236F" w:rsidRPr="0066705B">
        <w:rPr>
          <w:lang w:val="en-US"/>
        </w:rPr>
        <w:t xml:space="preserve">is an implementation design choice, and hence transparent to the NW. The standard supports UEs with any number of panels. It is quite likely that UEs will choose to activate only one of the panels and use only that panel to receive data. This is done to save power. The UE will then from time to time turn on all panels to check if another panel is better, in which case </w:t>
      </w:r>
      <w:r w:rsidR="0033236F" w:rsidRPr="0066705B">
        <w:rPr>
          <w:lang w:val="en-US"/>
        </w:rPr>
        <w:lastRenderedPageBreak/>
        <w:t xml:space="preserve">that panel is activated, and the previous panel is deactivated. Another way to handle multiple panels is that the NW may schedule UL SRS transmissions to probe multiple panels via the use of several SRS resource sets for beam management. </w:t>
      </w:r>
    </w:p>
    <w:p w14:paraId="76B118C6" w14:textId="52E61017" w:rsidR="0033236F" w:rsidRPr="0066705B" w:rsidRDefault="0033236F" w:rsidP="00283DBA">
      <w:pPr>
        <w:pStyle w:val="BodyText"/>
        <w:rPr>
          <w:lang w:val="en-US"/>
        </w:rPr>
      </w:pPr>
      <w:r w:rsidRPr="0066705B">
        <w:rPr>
          <w:lang w:val="en-US"/>
        </w:rPr>
        <w:t>Through either of these approaches, the pathloss between the gNB and the different panels is determined. The actual scheduling decision is then based on pathloss: the panel with the best pathloss is (implicitly) chosen.</w:t>
      </w:r>
    </w:p>
    <w:p w14:paraId="5F042A94" w14:textId="764FED3E" w:rsidR="0033236F" w:rsidRPr="0066705B" w:rsidRDefault="0033236F" w:rsidP="00283DBA">
      <w:pPr>
        <w:pStyle w:val="BodyText"/>
        <w:rPr>
          <w:lang w:val="en-US"/>
        </w:rPr>
      </w:pPr>
      <w:bookmarkStart w:id="4" w:name="_Hlk7721450"/>
      <w:bookmarkEnd w:id="3"/>
      <w:r w:rsidRPr="0066705B">
        <w:rPr>
          <w:lang w:val="en-US"/>
        </w:rPr>
        <w:t xml:space="preserve">In some cases, the </w:t>
      </w:r>
      <w:r w:rsidR="008375A7" w:rsidRPr="0066705B">
        <w:rPr>
          <w:lang w:val="en-US"/>
        </w:rPr>
        <w:t xml:space="preserve">RF exposure regulations </w:t>
      </w:r>
      <w:r w:rsidR="00EA0A5F" w:rsidRPr="0066705B">
        <w:rPr>
          <w:lang w:val="en-US"/>
        </w:rPr>
        <w:t xml:space="preserve">will require that the UE refrains from using its maximum Tx power. </w:t>
      </w:r>
      <w:r w:rsidR="00EA0A5F">
        <w:fldChar w:fldCharType="begin"/>
      </w:r>
      <w:r w:rsidR="00EA0A5F" w:rsidRPr="0066705B">
        <w:rPr>
          <w:lang w:val="en-US"/>
        </w:rPr>
        <w:instrText xml:space="preserve"> REF _Ref7677222 \r \h </w:instrText>
      </w:r>
      <w:r w:rsidR="00EA0A5F">
        <w:fldChar w:fldCharType="separate"/>
      </w:r>
      <w:r w:rsidR="00BA5894">
        <w:rPr>
          <w:lang w:val="en-US"/>
        </w:rPr>
        <w:t>[1]</w:t>
      </w:r>
      <w:r w:rsidR="00EA0A5F">
        <w:fldChar w:fldCharType="end"/>
      </w:r>
      <w:r w:rsidR="00EA0A5F" w:rsidRPr="0066705B">
        <w:rPr>
          <w:lang w:val="en-US"/>
        </w:rPr>
        <w:t xml:space="preserve"> by applying a back-off P-MPR. The exact level of reduction is still discussed in RAN4. </w:t>
      </w:r>
    </w:p>
    <w:bookmarkEnd w:id="4"/>
    <w:p w14:paraId="279A1732" w14:textId="68A1AA6A" w:rsidR="007D670A" w:rsidRPr="0066705B" w:rsidRDefault="00EA0A5F" w:rsidP="00283DBA">
      <w:pPr>
        <w:pStyle w:val="BodyText"/>
        <w:rPr>
          <w:lang w:val="en-US"/>
        </w:rPr>
      </w:pPr>
      <w:r w:rsidRPr="0066705B">
        <w:rPr>
          <w:lang w:val="en-US"/>
        </w:rPr>
        <w:t xml:space="preserve">It has also been proposed that RAN1 should </w:t>
      </w:r>
      <w:proofErr w:type="gramStart"/>
      <w:r w:rsidRPr="0066705B">
        <w:rPr>
          <w:lang w:val="en-US"/>
        </w:rPr>
        <w:t>look into</w:t>
      </w:r>
      <w:proofErr w:type="gramEnd"/>
      <w:r w:rsidRPr="0066705B">
        <w:rPr>
          <w:lang w:val="en-US"/>
        </w:rPr>
        <w:t xml:space="preserve"> these issues in the context of UL multi-panel transmission. The underlying idea that the P-MPR would only apply to one or a subset of the panels, and if the NW was aware of the panel P-MPR, it could choose to </w:t>
      </w:r>
      <w:proofErr w:type="spellStart"/>
      <w:r w:rsidRPr="0066705B">
        <w:rPr>
          <w:lang w:val="en-US"/>
        </w:rPr>
        <w:t>preform</w:t>
      </w:r>
      <w:proofErr w:type="spellEnd"/>
      <w:r w:rsidRPr="0066705B">
        <w:rPr>
          <w:lang w:val="en-US"/>
        </w:rPr>
        <w:t xml:space="preserve"> the UL transmission using another panel.</w:t>
      </w:r>
      <w:r w:rsidR="007D670A" w:rsidRPr="0066705B">
        <w:rPr>
          <w:lang w:val="en-US"/>
        </w:rPr>
        <w:t xml:space="preserve"> Note that in this case, the NW would not choose the best panel from a propagation point of view. </w:t>
      </w:r>
      <w:r w:rsidR="00E06E8D" w:rsidRPr="0066705B">
        <w:rPr>
          <w:lang w:val="en-US"/>
        </w:rPr>
        <w:t>Also note that in practice, for a panel with reduced P-MPR, the pathloss will probably be increased. The factor that causes the P-MPR will also lead to worse propagation. This effect is not included in this investigation.</w:t>
      </w:r>
    </w:p>
    <w:p w14:paraId="18B92A68" w14:textId="102C9E9B" w:rsidR="00EA0A5F" w:rsidRPr="0066705B" w:rsidRDefault="007D670A" w:rsidP="00283DBA">
      <w:pPr>
        <w:pStyle w:val="BodyText"/>
        <w:rPr>
          <w:lang w:val="en-US"/>
        </w:rPr>
      </w:pPr>
      <w:r w:rsidRPr="0066705B">
        <w:rPr>
          <w:lang w:val="en-US"/>
        </w:rPr>
        <w:t>To investigate this approach, we have performed system simulations</w:t>
      </w:r>
      <w:r w:rsidR="005C51E5" w:rsidRPr="0066705B">
        <w:rPr>
          <w:lang w:val="en-US"/>
        </w:rPr>
        <w:t xml:space="preserve"> to determine the gain of the knowledge of panel-specific P-MPR</w:t>
      </w:r>
      <w:r w:rsidRPr="0066705B">
        <w:rPr>
          <w:lang w:val="en-US"/>
        </w:rPr>
        <w:t xml:space="preserve">. </w:t>
      </w:r>
      <w:r w:rsidR="005C51E5" w:rsidRPr="0066705B">
        <w:rPr>
          <w:lang w:val="en-US"/>
        </w:rPr>
        <w:t>There are two baseline cases. In one case, P-MPR is 0 and in the other case, the P-MPR is non-zero but the NW assumes it is zero. This is compared to the case where the P-MPR is non-zero and exactly known to the NW.</w:t>
      </w:r>
    </w:p>
    <w:p w14:paraId="1ACD488C" w14:textId="3D64BF2C" w:rsidR="00FE61A1" w:rsidRPr="0066705B" w:rsidRDefault="00FE61A1" w:rsidP="00283DBA">
      <w:pPr>
        <w:pStyle w:val="BodyText"/>
        <w:rPr>
          <w:lang w:val="en-US"/>
        </w:rPr>
      </w:pPr>
      <w:r w:rsidRPr="0066705B">
        <w:rPr>
          <w:lang w:val="en-US"/>
        </w:rPr>
        <w:t xml:space="preserve">In these investigations, it is assumed that the NW takes the </w:t>
      </w:r>
      <w:proofErr w:type="spellStart"/>
      <w:r w:rsidRPr="0066705B">
        <w:rPr>
          <w:lang w:val="en-US"/>
        </w:rPr>
        <w:t>backoff</w:t>
      </w:r>
      <w:proofErr w:type="spellEnd"/>
      <w:r w:rsidRPr="0066705B">
        <w:rPr>
          <w:lang w:val="en-US"/>
        </w:rPr>
        <w:t xml:space="preserve"> into account also during cell selection. The NW may thus choose to change not only the UE Tx panel </w:t>
      </w:r>
      <w:proofErr w:type="gramStart"/>
      <w:r w:rsidRPr="0066705B">
        <w:rPr>
          <w:lang w:val="en-US"/>
        </w:rPr>
        <w:t>as a consequence of</w:t>
      </w:r>
      <w:proofErr w:type="gramEnd"/>
      <w:r w:rsidRPr="0066705B">
        <w:rPr>
          <w:lang w:val="en-US"/>
        </w:rPr>
        <w:t xml:space="preserve"> the </w:t>
      </w:r>
      <w:proofErr w:type="spellStart"/>
      <w:r w:rsidRPr="0066705B">
        <w:rPr>
          <w:lang w:val="en-US"/>
        </w:rPr>
        <w:t>backoff</w:t>
      </w:r>
      <w:proofErr w:type="spellEnd"/>
      <w:r w:rsidRPr="0066705B">
        <w:rPr>
          <w:lang w:val="en-US"/>
        </w:rPr>
        <w:t xml:space="preserve">, but also the cell association. This is somewhat unrealistic: </w:t>
      </w:r>
      <w:proofErr w:type="gramStart"/>
      <w:r w:rsidRPr="0066705B">
        <w:rPr>
          <w:lang w:val="en-US"/>
        </w:rPr>
        <w:t>in reality the</w:t>
      </w:r>
      <w:proofErr w:type="gramEnd"/>
      <w:r w:rsidRPr="0066705B">
        <w:rPr>
          <w:lang w:val="en-US"/>
        </w:rPr>
        <w:t xml:space="preserve"> cell selection will be based on DL reception only. If the UE is required to also connect to the same cell, the gains of p-</w:t>
      </w:r>
      <w:proofErr w:type="spellStart"/>
      <w:r w:rsidRPr="0066705B">
        <w:rPr>
          <w:lang w:val="en-US"/>
        </w:rPr>
        <w:t>MPRaware</w:t>
      </w:r>
      <w:proofErr w:type="spellEnd"/>
      <w:r w:rsidRPr="0066705B">
        <w:rPr>
          <w:lang w:val="en-US"/>
        </w:rPr>
        <w:t xml:space="preserve"> scheduling will be lower:</w:t>
      </w:r>
    </w:p>
    <w:p w14:paraId="5D06CBAE" w14:textId="423EEE0A" w:rsidR="00FE61A1" w:rsidRDefault="00FE61A1" w:rsidP="00FE61A1">
      <w:pPr>
        <w:pStyle w:val="Observation"/>
      </w:pPr>
      <w:bookmarkStart w:id="5" w:name="_Toc7787050"/>
      <w:r w:rsidRPr="0066705B">
        <w:rPr>
          <w:lang w:val="en-US"/>
        </w:rPr>
        <w:t xml:space="preserve">The reported gains also include the gains of P-MPR-aware cell selection. </w:t>
      </w:r>
      <w:r>
        <w:t>Such gains</w:t>
      </w:r>
      <w:r w:rsidR="002B30BC">
        <w:t xml:space="preserve"> are much harder to achieve in practice</w:t>
      </w:r>
      <w:r>
        <w:t>.</w:t>
      </w:r>
      <w:bookmarkEnd w:id="5"/>
      <w:r>
        <w:t xml:space="preserve"> </w:t>
      </w:r>
    </w:p>
    <w:p w14:paraId="3DEA0B06" w14:textId="30088716" w:rsidR="005C51E5" w:rsidRPr="0066705B" w:rsidRDefault="005C51E5" w:rsidP="00283DBA">
      <w:pPr>
        <w:pStyle w:val="BodyText"/>
        <w:rPr>
          <w:lang w:val="en-US"/>
        </w:rPr>
      </w:pPr>
      <w:r w:rsidRPr="0066705B">
        <w:rPr>
          <w:lang w:val="en-US"/>
        </w:rPr>
        <w:t>A 28GHz system is simulated, where the UE is equipped with two panels. Exhaustive beam sweeping is performed both at the NW and the UE to find the best beam</w:t>
      </w:r>
      <w:r w:rsidR="00E06E8D" w:rsidRPr="0066705B">
        <w:rPr>
          <w:lang w:val="en-US"/>
        </w:rPr>
        <w:t xml:space="preserve"> pair</w:t>
      </w:r>
      <w:r w:rsidRPr="0066705B">
        <w:rPr>
          <w:lang w:val="en-US"/>
        </w:rPr>
        <w:t>. For the UE, the exhaustive beam sweeping is performed per panel.</w:t>
      </w:r>
      <w:r w:rsidR="009B7B2F" w:rsidRPr="0066705B">
        <w:rPr>
          <w:lang w:val="en-US"/>
        </w:rPr>
        <w:t xml:space="preserve"> The</w:t>
      </w:r>
      <w:r w:rsidR="00F92FD2" w:rsidRPr="0066705B">
        <w:rPr>
          <w:lang w:val="en-US"/>
        </w:rPr>
        <w:t xml:space="preserve"> </w:t>
      </w:r>
      <w:r w:rsidR="009B7B2F" w:rsidRPr="0066705B">
        <w:rPr>
          <w:lang w:val="en-US"/>
        </w:rPr>
        <w:t xml:space="preserve">results are depicted in </w:t>
      </w:r>
      <w:r w:rsidR="009B7B2F">
        <w:fldChar w:fldCharType="begin"/>
      </w:r>
      <w:r w:rsidR="009B7B2F" w:rsidRPr="0066705B">
        <w:rPr>
          <w:lang w:val="en-US"/>
        </w:rPr>
        <w:instrText xml:space="preserve"> REF _Ref7690319 \h </w:instrText>
      </w:r>
      <w:r w:rsidR="009B7B2F">
        <w:fldChar w:fldCharType="separate"/>
      </w:r>
      <w:r w:rsidR="00BA5894" w:rsidRPr="00BA5894">
        <w:rPr>
          <w:lang w:val="en-US"/>
        </w:rPr>
        <w:t xml:space="preserve">Figure </w:t>
      </w:r>
      <w:r w:rsidR="00BA5894" w:rsidRPr="00BA5894">
        <w:rPr>
          <w:noProof/>
          <w:lang w:val="en-US"/>
        </w:rPr>
        <w:t>1</w:t>
      </w:r>
      <w:r w:rsidR="009B7B2F">
        <w:fldChar w:fldCharType="end"/>
      </w:r>
      <w:r w:rsidR="009B7B2F" w:rsidRPr="0066705B">
        <w:rPr>
          <w:lang w:val="en-US"/>
        </w:rPr>
        <w:t xml:space="preserve"> for a back-off of </w:t>
      </w:r>
      <w:r w:rsidR="001A315F" w:rsidRPr="0066705B">
        <w:rPr>
          <w:lang w:val="en-US"/>
        </w:rPr>
        <w:t>7</w:t>
      </w:r>
      <w:r w:rsidR="009B7B2F" w:rsidRPr="0066705B">
        <w:rPr>
          <w:lang w:val="en-US"/>
        </w:rPr>
        <w:t>dB.</w:t>
      </w:r>
    </w:p>
    <w:p w14:paraId="4B612223" w14:textId="2CB838F1" w:rsidR="009B7B2F" w:rsidRPr="00CE0424" w:rsidRDefault="004B6915" w:rsidP="009B7B2F">
      <w:pPr>
        <w:pStyle w:val="TH"/>
      </w:pPr>
      <w:r w:rsidRPr="004B6915">
        <w:rPr>
          <w:noProof/>
        </w:rPr>
        <w:lastRenderedPageBreak/>
        <w:drawing>
          <wp:inline distT="0" distB="0" distL="0" distR="0" wp14:anchorId="31ECB75E" wp14:editId="7E520C8B">
            <wp:extent cx="5324475" cy="399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8677BEB" w14:textId="1F114104" w:rsidR="009B7B2F" w:rsidRPr="009B7B2F" w:rsidRDefault="009B7B2F" w:rsidP="009B7B2F">
      <w:pPr>
        <w:pStyle w:val="TF"/>
        <w:rPr>
          <w:lang w:val="en-US"/>
        </w:rPr>
      </w:pPr>
      <w:bookmarkStart w:id="6" w:name="_Ref7690319"/>
      <w:r w:rsidRPr="00CE0424">
        <w:t xml:space="preserve">Figure </w:t>
      </w:r>
      <w:r w:rsidRPr="00CE0424">
        <w:fldChar w:fldCharType="begin"/>
      </w:r>
      <w:r w:rsidRPr="00CE0424">
        <w:instrText xml:space="preserve"> SEQ Figure \* ARABIC </w:instrText>
      </w:r>
      <w:r w:rsidRPr="00CE0424">
        <w:fldChar w:fldCharType="separate"/>
      </w:r>
      <w:r w:rsidR="00BA5894">
        <w:rPr>
          <w:noProof/>
        </w:rPr>
        <w:t>1</w:t>
      </w:r>
      <w:r w:rsidRPr="00CE0424">
        <w:fldChar w:fldCharType="end"/>
      </w:r>
      <w:bookmarkEnd w:id="6"/>
      <w:r w:rsidRPr="00CE0424">
        <w:t xml:space="preserve">: </w:t>
      </w:r>
      <w:r w:rsidR="003532C6">
        <w:rPr>
          <w:lang w:val="en-US"/>
        </w:rPr>
        <w:t xml:space="preserve">User throughput as a function of served traffic for </w:t>
      </w:r>
      <w:bookmarkStart w:id="7" w:name="_Hlk7694088"/>
      <w:r w:rsidR="003532C6">
        <w:rPr>
          <w:lang w:val="en-US"/>
        </w:rPr>
        <w:t>P-MPR aware multi-panel scheduling</w:t>
      </w:r>
      <w:bookmarkEnd w:id="7"/>
      <w:r>
        <w:rPr>
          <w:lang w:val="en-US"/>
        </w:rPr>
        <w:t xml:space="preserve">. </w:t>
      </w:r>
    </w:p>
    <w:p w14:paraId="4A08075A" w14:textId="2C33C920" w:rsidR="009B7B2F" w:rsidRPr="0066705B" w:rsidRDefault="009B7B2F" w:rsidP="00283DBA">
      <w:pPr>
        <w:pStyle w:val="BodyText"/>
        <w:rPr>
          <w:lang w:val="en-US"/>
        </w:rPr>
      </w:pPr>
      <w:r w:rsidRPr="0066705B">
        <w:rPr>
          <w:lang w:val="en-US"/>
        </w:rPr>
        <w:t xml:space="preserve">A few conclusions can be drawn from </w:t>
      </w:r>
      <w:r>
        <w:fldChar w:fldCharType="begin"/>
      </w:r>
      <w:r w:rsidRPr="0066705B">
        <w:rPr>
          <w:lang w:val="en-US"/>
        </w:rPr>
        <w:instrText xml:space="preserve"> REF _Ref7690319 \h </w:instrText>
      </w:r>
      <w:r>
        <w:fldChar w:fldCharType="separate"/>
      </w:r>
      <w:r w:rsidR="00BA5894" w:rsidRPr="00BA5894">
        <w:rPr>
          <w:lang w:val="en-US"/>
        </w:rPr>
        <w:t xml:space="preserve">Figure </w:t>
      </w:r>
      <w:r w:rsidR="00BA5894" w:rsidRPr="00BA5894">
        <w:rPr>
          <w:noProof/>
          <w:lang w:val="en-US"/>
        </w:rPr>
        <w:t>1</w:t>
      </w:r>
      <w:r>
        <w:fldChar w:fldCharType="end"/>
      </w:r>
      <w:r w:rsidRPr="0066705B">
        <w:rPr>
          <w:lang w:val="en-US"/>
        </w:rPr>
        <w:t>:</w:t>
      </w:r>
    </w:p>
    <w:p w14:paraId="45A6F236" w14:textId="191C4E77" w:rsidR="009B7B2F" w:rsidRPr="0066705B" w:rsidRDefault="009B7B2F" w:rsidP="009B7B2F">
      <w:pPr>
        <w:pStyle w:val="BodyText"/>
        <w:numPr>
          <w:ilvl w:val="0"/>
          <w:numId w:val="24"/>
        </w:numPr>
        <w:rPr>
          <w:lang w:val="en-US"/>
        </w:rPr>
      </w:pPr>
      <w:r w:rsidRPr="0066705B">
        <w:rPr>
          <w:lang w:val="en-US"/>
        </w:rPr>
        <w:t xml:space="preserve">There is only an impact at very low load: the gain at an offered load of 1Mbps/macro cell, corresponding to </w:t>
      </w:r>
      <w:r w:rsidR="00FB2FC9" w:rsidRPr="0066705B">
        <w:rPr>
          <w:lang w:val="en-US"/>
        </w:rPr>
        <w:t xml:space="preserve">a load of </w:t>
      </w:r>
      <w:r w:rsidR="00C60F93" w:rsidRPr="0066705B">
        <w:rPr>
          <w:lang w:val="en-US"/>
        </w:rPr>
        <w:t>0.01 bps/Hz/cell: already at 10Mbps/macro cell, the gain is gone.</w:t>
      </w:r>
    </w:p>
    <w:p w14:paraId="2FF76004" w14:textId="6DFAF93A" w:rsidR="009B7B2F" w:rsidRPr="0066705B" w:rsidRDefault="00C60F93" w:rsidP="009B7B2F">
      <w:pPr>
        <w:pStyle w:val="BodyText"/>
        <w:numPr>
          <w:ilvl w:val="0"/>
          <w:numId w:val="24"/>
        </w:numPr>
        <w:rPr>
          <w:lang w:val="en-US"/>
        </w:rPr>
      </w:pPr>
      <w:r w:rsidRPr="0066705B">
        <w:rPr>
          <w:lang w:val="en-US"/>
        </w:rPr>
        <w:t>Even t</w:t>
      </w:r>
      <w:r w:rsidR="009B7B2F" w:rsidRPr="0066705B">
        <w:rPr>
          <w:lang w:val="en-US"/>
        </w:rPr>
        <w:t>he low-load gain is quite small.</w:t>
      </w:r>
    </w:p>
    <w:p w14:paraId="503829A5" w14:textId="37CFFC2A" w:rsidR="00C60F93" w:rsidRPr="0066705B" w:rsidRDefault="00C60F93" w:rsidP="00C60F93">
      <w:pPr>
        <w:pStyle w:val="BodyText"/>
        <w:rPr>
          <w:lang w:val="en-US"/>
        </w:rPr>
      </w:pPr>
      <w:r w:rsidRPr="0066705B">
        <w:rPr>
          <w:lang w:val="en-US"/>
        </w:rPr>
        <w:t xml:space="preserve">As mentioned in the agreement, the intent is to focus on coverage. Therefore, we will in the following only look at performance at </w:t>
      </w:r>
      <w:r w:rsidR="003532C6" w:rsidRPr="0066705B">
        <w:rPr>
          <w:lang w:val="en-US"/>
        </w:rPr>
        <w:t xml:space="preserve">very low load. The results in </w:t>
      </w:r>
      <w:r w:rsidR="003532C6">
        <w:fldChar w:fldCharType="begin"/>
      </w:r>
      <w:r w:rsidR="003532C6" w:rsidRPr="0066705B">
        <w:rPr>
          <w:lang w:val="en-US"/>
        </w:rPr>
        <w:instrText xml:space="preserve"> REF _Ref7690319 \h </w:instrText>
      </w:r>
      <w:r w:rsidR="003532C6">
        <w:fldChar w:fldCharType="separate"/>
      </w:r>
      <w:r w:rsidR="00BA5894" w:rsidRPr="00BA5894">
        <w:rPr>
          <w:lang w:val="en-US"/>
        </w:rPr>
        <w:t xml:space="preserve">Figure </w:t>
      </w:r>
      <w:r w:rsidR="00BA5894" w:rsidRPr="00BA5894">
        <w:rPr>
          <w:noProof/>
          <w:lang w:val="en-US"/>
        </w:rPr>
        <w:t>1</w:t>
      </w:r>
      <w:r w:rsidR="003532C6">
        <w:fldChar w:fldCharType="end"/>
      </w:r>
      <w:r w:rsidR="003532C6" w:rsidRPr="0066705B">
        <w:rPr>
          <w:lang w:val="en-US"/>
        </w:rPr>
        <w:t xml:space="preserve"> point to that this is where the potential gains lie:</w:t>
      </w:r>
    </w:p>
    <w:p w14:paraId="2816942A" w14:textId="0D3E917F" w:rsidR="003532C6" w:rsidRPr="0066705B" w:rsidRDefault="003532C6" w:rsidP="003532C6">
      <w:pPr>
        <w:pStyle w:val="Observation"/>
        <w:rPr>
          <w:lang w:val="en-US"/>
        </w:rPr>
      </w:pPr>
      <w:bookmarkStart w:id="8" w:name="_Toc7787051"/>
      <w:r w:rsidRPr="0066705B">
        <w:rPr>
          <w:lang w:val="en-US"/>
        </w:rPr>
        <w:t>P-MPR-aware multi-panel scheduling is only beneficial at very low load.</w:t>
      </w:r>
      <w:bookmarkEnd w:id="8"/>
    </w:p>
    <w:p w14:paraId="3D9BEAAB" w14:textId="5DF828CD" w:rsidR="003532C6" w:rsidRPr="0066705B" w:rsidRDefault="003532C6" w:rsidP="00C60F93">
      <w:pPr>
        <w:pStyle w:val="BodyText"/>
        <w:rPr>
          <w:lang w:val="en-US"/>
        </w:rPr>
      </w:pPr>
      <w:r w:rsidRPr="0066705B">
        <w:rPr>
          <w:lang w:val="en-US"/>
        </w:rPr>
        <w:t xml:space="preserve">One important factor is of course the amount of back-off. For the results in </w:t>
      </w:r>
      <w:r>
        <w:fldChar w:fldCharType="begin"/>
      </w:r>
      <w:r w:rsidRPr="0066705B">
        <w:rPr>
          <w:lang w:val="en-US"/>
        </w:rPr>
        <w:instrText xml:space="preserve"> REF _Ref7690319 \h </w:instrText>
      </w:r>
      <w:r>
        <w:fldChar w:fldCharType="separate"/>
      </w:r>
      <w:r w:rsidR="00BA5894" w:rsidRPr="00BA5894">
        <w:rPr>
          <w:lang w:val="en-US"/>
        </w:rPr>
        <w:t xml:space="preserve">Figure </w:t>
      </w:r>
      <w:r w:rsidR="00BA5894" w:rsidRPr="00BA5894">
        <w:rPr>
          <w:noProof/>
          <w:lang w:val="en-US"/>
        </w:rPr>
        <w:t>1</w:t>
      </w:r>
      <w:r>
        <w:fldChar w:fldCharType="end"/>
      </w:r>
      <w:r w:rsidRPr="0066705B">
        <w:rPr>
          <w:lang w:val="en-US"/>
        </w:rPr>
        <w:t xml:space="preserve">, we assumed that the required back-off would be </w:t>
      </w:r>
      <w:r w:rsidR="00FE61A1" w:rsidRPr="0066705B">
        <w:rPr>
          <w:lang w:val="en-US"/>
        </w:rPr>
        <w:t>7</w:t>
      </w:r>
      <w:r w:rsidRPr="0066705B">
        <w:rPr>
          <w:lang w:val="en-US"/>
        </w:rPr>
        <w:t>dB, which we consider a realistic value. For completeness, we have also evaluated the case when the required back-off is a 10dB. We have also studied the case when the UE is equipped with 4 antenna panels.</w:t>
      </w:r>
    </w:p>
    <w:p w14:paraId="237D03F5" w14:textId="3B8E2AEB" w:rsidR="0066705B" w:rsidRPr="0066705B" w:rsidRDefault="0066705B" w:rsidP="00FD6C7D">
      <w:pPr>
        <w:pStyle w:val="TH"/>
      </w:pPr>
      <w:r>
        <w:rPr>
          <w:noProof/>
        </w:rPr>
        <w:lastRenderedPageBreak/>
        <w:drawing>
          <wp:inline distT="0" distB="0" distL="0" distR="0" wp14:anchorId="581156CE" wp14:editId="22D95D86">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CB353B5" w14:textId="63C02061" w:rsidR="003532C6" w:rsidRPr="009B7B2F" w:rsidRDefault="003532C6" w:rsidP="003532C6">
      <w:pPr>
        <w:pStyle w:val="TF"/>
        <w:rPr>
          <w:lang w:val="en-US"/>
        </w:rPr>
      </w:pPr>
      <w:bookmarkStart w:id="9" w:name="_Ref7698522"/>
      <w:r w:rsidRPr="00CE0424">
        <w:t xml:space="preserve">Figure </w:t>
      </w:r>
      <w:r w:rsidRPr="00CE0424">
        <w:fldChar w:fldCharType="begin"/>
      </w:r>
      <w:r w:rsidRPr="00CE0424">
        <w:instrText xml:space="preserve"> SEQ Figure \* ARABIC </w:instrText>
      </w:r>
      <w:r w:rsidRPr="00CE0424">
        <w:fldChar w:fldCharType="separate"/>
      </w:r>
      <w:r w:rsidR="00BA5894">
        <w:rPr>
          <w:noProof/>
        </w:rPr>
        <w:t>2</w:t>
      </w:r>
      <w:r w:rsidRPr="00CE0424">
        <w:fldChar w:fldCharType="end"/>
      </w:r>
      <w:bookmarkEnd w:id="9"/>
      <w:r w:rsidRPr="00CE0424">
        <w:t xml:space="preserve">: </w:t>
      </w:r>
      <w:r>
        <w:rPr>
          <w:lang w:val="en-US"/>
        </w:rPr>
        <w:t>Low-load user throughput for P-MPR aware multi-panel scheduling for different back-offs and different UE antenna configurations.</w:t>
      </w:r>
    </w:p>
    <w:p w14:paraId="0A508454" w14:textId="5EF8CC9D" w:rsidR="002B30BC" w:rsidRDefault="002B30BC" w:rsidP="00C60F93">
      <w:pPr>
        <w:pStyle w:val="BodyText"/>
        <w:rPr>
          <w:lang w:val="en-US"/>
        </w:rPr>
      </w:pPr>
      <w:r>
        <w:rPr>
          <w:lang w:val="en-US"/>
        </w:rPr>
        <w:t xml:space="preserve">In many cases, the factor that causes the back-off will also result in worse pathloss, i.e., due to shadowing. Thus, the UL performance is affected both by the worse propagation, and the increased back-off. To investigate if this has any impact on the result, we repeated the investigation in </w:t>
      </w:r>
      <w:r>
        <w:rPr>
          <w:lang w:val="en-US"/>
        </w:rPr>
        <w:fldChar w:fldCharType="begin"/>
      </w:r>
      <w:r>
        <w:rPr>
          <w:lang w:val="en-US"/>
        </w:rPr>
        <w:instrText xml:space="preserve"> REF _Ref7698522 \h </w:instrText>
      </w:r>
      <w:r>
        <w:rPr>
          <w:lang w:val="en-US"/>
        </w:rPr>
      </w:r>
      <w:r>
        <w:rPr>
          <w:lang w:val="en-US"/>
        </w:rPr>
        <w:fldChar w:fldCharType="separate"/>
      </w:r>
      <w:r w:rsidR="00BA5894" w:rsidRPr="00BA5894">
        <w:rPr>
          <w:lang w:val="en-US"/>
        </w:rPr>
        <w:t xml:space="preserve">Figure </w:t>
      </w:r>
      <w:r w:rsidR="00BA5894" w:rsidRPr="00BA5894">
        <w:rPr>
          <w:noProof/>
          <w:lang w:val="en-US"/>
        </w:rPr>
        <w:t>2</w:t>
      </w:r>
      <w:r>
        <w:rPr>
          <w:lang w:val="en-US"/>
        </w:rPr>
        <w:fldChar w:fldCharType="end"/>
      </w:r>
      <w:r>
        <w:rPr>
          <w:lang w:val="en-US"/>
        </w:rPr>
        <w:t xml:space="preserve">, but we also increased the pathloss of the selected panel by </w:t>
      </w:r>
      <w:r w:rsidR="0049313C">
        <w:rPr>
          <w:lang w:val="en-US"/>
        </w:rPr>
        <w:t>7</w:t>
      </w:r>
      <w:r>
        <w:rPr>
          <w:lang w:val="en-US"/>
        </w:rPr>
        <w:t xml:space="preserve">dB. The results are depicted in </w:t>
      </w:r>
      <w:r w:rsidR="00C33C16">
        <w:rPr>
          <w:lang w:val="en-US"/>
        </w:rPr>
        <w:fldChar w:fldCharType="begin"/>
      </w:r>
      <w:r w:rsidR="00C33C16">
        <w:rPr>
          <w:lang w:val="en-US"/>
        </w:rPr>
        <w:instrText xml:space="preserve"> REF _Ref7698933 \h </w:instrText>
      </w:r>
      <w:r w:rsidR="00C33C16">
        <w:rPr>
          <w:lang w:val="en-US"/>
        </w:rPr>
      </w:r>
      <w:r w:rsidR="00C33C16">
        <w:rPr>
          <w:lang w:val="en-US"/>
        </w:rPr>
        <w:fldChar w:fldCharType="separate"/>
      </w:r>
      <w:r w:rsidR="00BA5894" w:rsidRPr="00CE0424">
        <w:t xml:space="preserve">Figure </w:t>
      </w:r>
      <w:r w:rsidR="00BA5894">
        <w:rPr>
          <w:noProof/>
        </w:rPr>
        <w:t>3</w:t>
      </w:r>
      <w:r w:rsidR="00C33C16">
        <w:rPr>
          <w:lang w:val="en-US"/>
        </w:rPr>
        <w:fldChar w:fldCharType="end"/>
      </w:r>
      <w:r w:rsidR="00FD6C7D">
        <w:rPr>
          <w:lang w:val="en-US"/>
        </w:rPr>
        <w:t>.</w:t>
      </w:r>
    </w:p>
    <w:p w14:paraId="0782AB6D" w14:textId="7DECFB95" w:rsidR="00FD6C7D" w:rsidRDefault="00FD6C7D" w:rsidP="00FD6C7D">
      <w:pPr>
        <w:pStyle w:val="TH"/>
      </w:pPr>
      <w:r>
        <w:rPr>
          <w:noProof/>
        </w:rPr>
        <w:drawing>
          <wp:inline distT="0" distB="0" distL="0" distR="0" wp14:anchorId="077C72A0" wp14:editId="356FBC6C">
            <wp:extent cx="5486400" cy="32004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896C575" w14:textId="6E1B7285" w:rsidR="002B30BC" w:rsidRPr="009B7B2F" w:rsidRDefault="002B30BC" w:rsidP="002B30BC">
      <w:pPr>
        <w:pStyle w:val="TF"/>
        <w:rPr>
          <w:lang w:val="en-US"/>
        </w:rPr>
      </w:pPr>
      <w:r>
        <w:rPr>
          <w:lang w:val="en-US"/>
        </w:rPr>
        <w:t xml:space="preserve"> </w:t>
      </w:r>
      <w:bookmarkStart w:id="10" w:name="_Ref7698933"/>
      <w:r w:rsidRPr="00CE0424">
        <w:t xml:space="preserve">Figure </w:t>
      </w:r>
      <w:r w:rsidRPr="00CE0424">
        <w:fldChar w:fldCharType="begin"/>
      </w:r>
      <w:r w:rsidRPr="00CE0424">
        <w:instrText xml:space="preserve"> SEQ Figure \* ARABIC </w:instrText>
      </w:r>
      <w:r w:rsidRPr="00CE0424">
        <w:fldChar w:fldCharType="separate"/>
      </w:r>
      <w:r w:rsidR="00BA5894">
        <w:rPr>
          <w:noProof/>
        </w:rPr>
        <w:t>3</w:t>
      </w:r>
      <w:r w:rsidRPr="00CE0424">
        <w:fldChar w:fldCharType="end"/>
      </w:r>
      <w:bookmarkEnd w:id="10"/>
      <w:r w:rsidRPr="00CE0424">
        <w:t xml:space="preserve">: </w:t>
      </w:r>
      <w:bookmarkStart w:id="11" w:name="_Hlk7721736"/>
      <w:r>
        <w:rPr>
          <w:lang w:val="en-US"/>
        </w:rPr>
        <w:t xml:space="preserve">Low-load user throughput for P-MPR aware multi-panel scheduling for different back-offs and different UE antenna configurations. </w:t>
      </w:r>
      <w:r w:rsidR="0049313C">
        <w:rPr>
          <w:lang w:val="en-US"/>
        </w:rPr>
        <w:t>7</w:t>
      </w:r>
      <w:r>
        <w:rPr>
          <w:lang w:val="en-US"/>
        </w:rPr>
        <w:t>dB additional shadowing is applied to one of the panels.</w:t>
      </w:r>
    </w:p>
    <w:bookmarkEnd w:id="11"/>
    <w:p w14:paraId="5D864A33" w14:textId="4130DB0E" w:rsidR="002B30BC" w:rsidRDefault="002B30BC" w:rsidP="00C60F93">
      <w:pPr>
        <w:pStyle w:val="BodyText"/>
        <w:rPr>
          <w:lang w:val="en-US"/>
        </w:rPr>
      </w:pPr>
    </w:p>
    <w:p w14:paraId="6E6325F0" w14:textId="45ECC50D" w:rsidR="003532C6" w:rsidRDefault="002B30BC" w:rsidP="00C60F93">
      <w:pPr>
        <w:pStyle w:val="BodyText"/>
        <w:rPr>
          <w:lang w:val="en-US"/>
        </w:rPr>
      </w:pPr>
      <w:bookmarkStart w:id="12" w:name="_Hlk7721935"/>
      <w:r>
        <w:rPr>
          <w:lang w:val="en-US"/>
        </w:rPr>
        <w:lastRenderedPageBreak/>
        <w:t xml:space="preserve">Based on the results in </w:t>
      </w:r>
      <w:r>
        <w:rPr>
          <w:lang w:val="en-US"/>
        </w:rPr>
        <w:fldChar w:fldCharType="begin"/>
      </w:r>
      <w:r>
        <w:rPr>
          <w:lang w:val="en-US"/>
        </w:rPr>
        <w:instrText xml:space="preserve"> REF _Ref7690319 \h </w:instrText>
      </w:r>
      <w:r>
        <w:rPr>
          <w:lang w:val="en-US"/>
        </w:rPr>
      </w:r>
      <w:r>
        <w:rPr>
          <w:lang w:val="en-US"/>
        </w:rPr>
        <w:fldChar w:fldCharType="separate"/>
      </w:r>
      <w:r w:rsidR="00BA5894" w:rsidRPr="00BA5894">
        <w:rPr>
          <w:lang w:val="en-US"/>
        </w:rPr>
        <w:t xml:space="preserve">Figure </w:t>
      </w:r>
      <w:r w:rsidR="00BA5894" w:rsidRPr="00BA5894">
        <w:rPr>
          <w:noProof/>
          <w:lang w:val="en-US"/>
        </w:rPr>
        <w:t>1</w:t>
      </w:r>
      <w:r>
        <w:rPr>
          <w:lang w:val="en-US"/>
        </w:rPr>
        <w:fldChar w:fldCharType="end"/>
      </w:r>
      <w:r>
        <w:rPr>
          <w:lang w:val="en-US"/>
        </w:rPr>
        <w:t xml:space="preserve">, </w:t>
      </w:r>
      <w:r>
        <w:rPr>
          <w:lang w:val="en-US"/>
        </w:rPr>
        <w:fldChar w:fldCharType="begin"/>
      </w:r>
      <w:r>
        <w:rPr>
          <w:lang w:val="en-US"/>
        </w:rPr>
        <w:instrText xml:space="preserve"> REF _Ref7698522 \h </w:instrText>
      </w:r>
      <w:r>
        <w:rPr>
          <w:lang w:val="en-US"/>
        </w:rPr>
      </w:r>
      <w:r>
        <w:rPr>
          <w:lang w:val="en-US"/>
        </w:rPr>
        <w:fldChar w:fldCharType="separate"/>
      </w:r>
      <w:r w:rsidR="00BA5894" w:rsidRPr="00BA5894">
        <w:rPr>
          <w:lang w:val="en-US"/>
        </w:rPr>
        <w:t xml:space="preserve">Figure </w:t>
      </w:r>
      <w:r w:rsidR="00BA5894" w:rsidRPr="00BA5894">
        <w:rPr>
          <w:noProof/>
          <w:lang w:val="en-US"/>
        </w:rPr>
        <w:t>2</w:t>
      </w:r>
      <w:r>
        <w:rPr>
          <w:lang w:val="en-US"/>
        </w:rPr>
        <w:fldChar w:fldCharType="end"/>
      </w:r>
      <w:r>
        <w:rPr>
          <w:lang w:val="en-US"/>
        </w:rPr>
        <w:t xml:space="preserve">, and  </w:t>
      </w:r>
      <w:r>
        <w:rPr>
          <w:lang w:val="en-US"/>
        </w:rPr>
        <w:fldChar w:fldCharType="begin"/>
      </w:r>
      <w:r>
        <w:rPr>
          <w:lang w:val="en-US"/>
        </w:rPr>
        <w:instrText xml:space="preserve"> REF _Ref7698933 \h </w:instrText>
      </w:r>
      <w:r>
        <w:rPr>
          <w:lang w:val="en-US"/>
        </w:rPr>
      </w:r>
      <w:r>
        <w:rPr>
          <w:lang w:val="en-US"/>
        </w:rPr>
        <w:fldChar w:fldCharType="separate"/>
      </w:r>
      <w:r w:rsidR="00BA5894" w:rsidRPr="00BA5894">
        <w:rPr>
          <w:lang w:val="en-US"/>
        </w:rPr>
        <w:t xml:space="preserve">Figure </w:t>
      </w:r>
      <w:r w:rsidR="00BA5894" w:rsidRPr="00BA5894">
        <w:rPr>
          <w:noProof/>
          <w:lang w:val="en-US"/>
        </w:rPr>
        <w:t>3</w:t>
      </w:r>
      <w:r>
        <w:rPr>
          <w:lang w:val="en-US"/>
        </w:rPr>
        <w:fldChar w:fldCharType="end"/>
      </w:r>
      <w:r>
        <w:rPr>
          <w:lang w:val="en-US"/>
        </w:rPr>
        <w:t>, we observe</w:t>
      </w:r>
    </w:p>
    <w:p w14:paraId="2F7735BC" w14:textId="51857E18" w:rsidR="002B30BC" w:rsidRPr="001D4830" w:rsidRDefault="002B30BC" w:rsidP="001D4830">
      <w:pPr>
        <w:pStyle w:val="Observation"/>
        <w:rPr>
          <w:lang w:val="en-US"/>
        </w:rPr>
      </w:pPr>
      <w:bookmarkStart w:id="13" w:name="_Toc7787052"/>
      <w:r>
        <w:rPr>
          <w:lang w:val="en-US"/>
        </w:rPr>
        <w:t xml:space="preserve">Even when P-MPR-aware </w:t>
      </w:r>
      <w:r w:rsidR="0049313C">
        <w:rPr>
          <w:lang w:val="en-US"/>
        </w:rPr>
        <w:t xml:space="preserve">cell </w:t>
      </w:r>
      <w:r>
        <w:rPr>
          <w:lang w:val="en-US"/>
        </w:rPr>
        <w:t>selection is applied, the gains with P-MPR-aware scheduling are small.</w:t>
      </w:r>
      <w:bookmarkEnd w:id="12"/>
      <w:bookmarkEnd w:id="13"/>
    </w:p>
    <w:p w14:paraId="3F44162E" w14:textId="77777777" w:rsidR="00C01F33" w:rsidRPr="00CE0424" w:rsidRDefault="00C01F33" w:rsidP="00CE0424">
      <w:pPr>
        <w:pStyle w:val="Heading1"/>
      </w:pPr>
      <w:r w:rsidRPr="00CE0424">
        <w:t>Conclusion</w:t>
      </w:r>
    </w:p>
    <w:p w14:paraId="3213AD1E" w14:textId="77777777" w:rsidR="008E065E" w:rsidRPr="0066705B" w:rsidRDefault="008E065E" w:rsidP="008E065E">
      <w:pPr>
        <w:pStyle w:val="BodyText"/>
        <w:rPr>
          <w:b/>
          <w:bCs/>
          <w:lang w:val="en-US"/>
        </w:rPr>
      </w:pPr>
      <w:r w:rsidRPr="0066705B">
        <w:rPr>
          <w:lang w:val="en-US"/>
        </w:rPr>
        <w:t xml:space="preserve">In </w:t>
      </w:r>
      <w:r w:rsidR="007729A2" w:rsidRPr="0066705B">
        <w:rPr>
          <w:lang w:val="en-US"/>
        </w:rPr>
        <w:t xml:space="preserve">the previous </w:t>
      </w:r>
      <w:r w:rsidRPr="0066705B">
        <w:rPr>
          <w:lang w:val="en-US"/>
        </w:rPr>
        <w:t>section</w:t>
      </w:r>
      <w:r w:rsidR="007729A2" w:rsidRPr="0066705B">
        <w:rPr>
          <w:lang w:val="en-US"/>
        </w:rPr>
        <w:t>s</w:t>
      </w:r>
      <w:r w:rsidRPr="0066705B">
        <w:rPr>
          <w:lang w:val="en-US"/>
        </w:rPr>
        <w:t xml:space="preserve"> we made the following observations:</w:t>
      </w:r>
      <w:r w:rsidR="00C93814" w:rsidRPr="0066705B">
        <w:rPr>
          <w:b/>
          <w:bCs/>
          <w:lang w:val="en-US"/>
        </w:rPr>
        <w:t xml:space="preserve"> </w:t>
      </w:r>
    </w:p>
    <w:p w14:paraId="53671EA2" w14:textId="2906C0AC" w:rsidR="00BA5894"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87050" w:history="1">
        <w:r w:rsidR="00BA5894" w:rsidRPr="006B40AB">
          <w:rPr>
            <w:rStyle w:val="Hyperlink"/>
            <w:noProof/>
          </w:rPr>
          <w:t>Observation 1</w:t>
        </w:r>
        <w:r w:rsidR="00BA5894">
          <w:rPr>
            <w:rFonts w:asciiTheme="minorHAnsi" w:eastAsiaTheme="minorEastAsia" w:hAnsiTheme="minorHAnsi"/>
            <w:b w:val="0"/>
            <w:noProof/>
            <w:lang w:eastAsia="sv-SE"/>
          </w:rPr>
          <w:tab/>
        </w:r>
        <w:r w:rsidR="00BA5894" w:rsidRPr="006B40AB">
          <w:rPr>
            <w:rStyle w:val="Hyperlink"/>
            <w:noProof/>
            <w:lang w:val="en-US"/>
          </w:rPr>
          <w:t xml:space="preserve">The reported gains also include the gains of P-MPR-aware cell selection. </w:t>
        </w:r>
        <w:r w:rsidR="00BA5894" w:rsidRPr="006B40AB">
          <w:rPr>
            <w:rStyle w:val="Hyperlink"/>
            <w:noProof/>
          </w:rPr>
          <w:t>Such gains are much harder to achieve in practice.</w:t>
        </w:r>
      </w:hyperlink>
    </w:p>
    <w:p w14:paraId="360F050B" w14:textId="24F9CCD2" w:rsidR="00BA5894" w:rsidRDefault="00926C3C">
      <w:pPr>
        <w:pStyle w:val="TableofFigures"/>
        <w:tabs>
          <w:tab w:val="right" w:leader="dot" w:pos="9629"/>
        </w:tabs>
        <w:rPr>
          <w:rFonts w:asciiTheme="minorHAnsi" w:eastAsiaTheme="minorEastAsia" w:hAnsiTheme="minorHAnsi"/>
          <w:b w:val="0"/>
          <w:noProof/>
          <w:lang w:eastAsia="sv-SE"/>
        </w:rPr>
      </w:pPr>
      <w:hyperlink w:anchor="_Toc7787051" w:history="1">
        <w:r w:rsidR="00BA5894" w:rsidRPr="006B40AB">
          <w:rPr>
            <w:rStyle w:val="Hyperlink"/>
            <w:noProof/>
            <w:lang w:val="en-US"/>
          </w:rPr>
          <w:t>Observation 2</w:t>
        </w:r>
        <w:r w:rsidR="00BA5894">
          <w:rPr>
            <w:rFonts w:asciiTheme="minorHAnsi" w:eastAsiaTheme="minorEastAsia" w:hAnsiTheme="minorHAnsi"/>
            <w:b w:val="0"/>
            <w:noProof/>
            <w:lang w:eastAsia="sv-SE"/>
          </w:rPr>
          <w:tab/>
        </w:r>
        <w:r w:rsidR="00BA5894" w:rsidRPr="006B40AB">
          <w:rPr>
            <w:rStyle w:val="Hyperlink"/>
            <w:noProof/>
            <w:lang w:val="en-US"/>
          </w:rPr>
          <w:t>P-MPR-aware multi-panel scheduling is only beneficial at very low load.</w:t>
        </w:r>
      </w:hyperlink>
    </w:p>
    <w:p w14:paraId="794148D1" w14:textId="31046AFE" w:rsidR="00BA5894" w:rsidRDefault="00926C3C">
      <w:pPr>
        <w:pStyle w:val="TableofFigures"/>
        <w:tabs>
          <w:tab w:val="right" w:leader="dot" w:pos="9629"/>
        </w:tabs>
        <w:rPr>
          <w:rFonts w:asciiTheme="minorHAnsi" w:eastAsiaTheme="minorEastAsia" w:hAnsiTheme="minorHAnsi"/>
          <w:b w:val="0"/>
          <w:noProof/>
          <w:lang w:eastAsia="sv-SE"/>
        </w:rPr>
      </w:pPr>
      <w:hyperlink w:anchor="_Toc7787052" w:history="1">
        <w:r w:rsidR="00BA5894" w:rsidRPr="006B40AB">
          <w:rPr>
            <w:rStyle w:val="Hyperlink"/>
            <w:noProof/>
            <w:lang w:val="en-US"/>
          </w:rPr>
          <w:t>Observation 3</w:t>
        </w:r>
        <w:r w:rsidR="00BA5894">
          <w:rPr>
            <w:rFonts w:asciiTheme="minorHAnsi" w:eastAsiaTheme="minorEastAsia" w:hAnsiTheme="minorHAnsi"/>
            <w:b w:val="0"/>
            <w:noProof/>
            <w:lang w:eastAsia="sv-SE"/>
          </w:rPr>
          <w:tab/>
        </w:r>
        <w:r w:rsidR="00BA5894" w:rsidRPr="006B40AB">
          <w:rPr>
            <w:rStyle w:val="Hyperlink"/>
            <w:noProof/>
            <w:lang w:val="en-US"/>
          </w:rPr>
          <w:t>Even when P-MPR-aware cell selection is applied, the gains with P-MPR-aware scheduling are small.</w:t>
        </w:r>
      </w:hyperlink>
    </w:p>
    <w:p w14:paraId="18AC8896" w14:textId="7349058E" w:rsidR="006E1C82" w:rsidRDefault="006F6582" w:rsidP="008E065E">
      <w:pPr>
        <w:pStyle w:val="BodyText"/>
        <w:rPr>
          <w:b/>
          <w:bCs/>
        </w:rPr>
      </w:pPr>
      <w:r>
        <w:rPr>
          <w:b/>
          <w:bCs/>
        </w:rPr>
        <w:fldChar w:fldCharType="end"/>
      </w:r>
    </w:p>
    <w:p w14:paraId="2BC88CA8" w14:textId="77777777" w:rsidR="00F507D1" w:rsidRPr="00CE0424" w:rsidRDefault="00F507D1" w:rsidP="00CE0424">
      <w:pPr>
        <w:pStyle w:val="Heading1"/>
      </w:pPr>
      <w:bookmarkStart w:id="14" w:name="_In-sequence_SDU_delivery"/>
      <w:bookmarkEnd w:id="14"/>
      <w:r w:rsidRPr="00CE0424">
        <w:t>References</w:t>
      </w:r>
    </w:p>
    <w:p w14:paraId="47C8DDC6" w14:textId="7BA13CB7" w:rsidR="005F3025" w:rsidRPr="0066705B" w:rsidRDefault="00EA0A5F" w:rsidP="00311702">
      <w:pPr>
        <w:pStyle w:val="Reference"/>
        <w:rPr>
          <w:lang w:val="en-US"/>
        </w:rPr>
      </w:pPr>
      <w:bookmarkStart w:id="15" w:name="_Ref7677222"/>
      <w:bookmarkStart w:id="16" w:name="_Ref174151459"/>
      <w:bookmarkStart w:id="17" w:name="_Ref189809556"/>
      <w:r w:rsidRPr="0066705B">
        <w:rPr>
          <w:lang w:val="en-US"/>
        </w:rPr>
        <w:t xml:space="preserve">R4-1903962, </w:t>
      </w:r>
      <w:r>
        <w:rPr>
          <w:rFonts w:cs="Arial"/>
          <w:lang w:val="en-US"/>
        </w:rPr>
        <w:t>On the P-MPR needed for compliance with MPE requirements and relation to FR2 UL duty cycle, Ericsson, Sony, RAN4 #90bis, Xi’an, April 2019</w:t>
      </w:r>
      <w:bookmarkEnd w:id="15"/>
    </w:p>
    <w:bookmarkEnd w:id="16"/>
    <w:bookmarkEnd w:id="17"/>
    <w:p w14:paraId="009480CA" w14:textId="77777777" w:rsidR="005C51E5" w:rsidRDefault="005C51E5" w:rsidP="005C51E5">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C51E5" w14:paraId="4DEEA7F1" w14:textId="77777777" w:rsidTr="0051500F">
        <w:tc>
          <w:tcPr>
            <w:tcW w:w="4814" w:type="dxa"/>
          </w:tcPr>
          <w:p w14:paraId="5C1D6EAB" w14:textId="77777777" w:rsidR="005C51E5" w:rsidRDefault="005C51E5" w:rsidP="0051500F">
            <w:r>
              <w:t>Scenario</w:t>
            </w:r>
          </w:p>
        </w:tc>
        <w:tc>
          <w:tcPr>
            <w:tcW w:w="4815" w:type="dxa"/>
          </w:tcPr>
          <w:p w14:paraId="702B732E" w14:textId="77777777" w:rsidR="005C51E5" w:rsidRDefault="005C51E5" w:rsidP="0051500F">
            <w:r>
              <w:t>3GPP UMi 200m ISD</w:t>
            </w:r>
          </w:p>
        </w:tc>
      </w:tr>
      <w:tr w:rsidR="005C51E5" w14:paraId="29C3A035" w14:textId="77777777" w:rsidTr="0051500F">
        <w:tc>
          <w:tcPr>
            <w:tcW w:w="4814" w:type="dxa"/>
          </w:tcPr>
          <w:p w14:paraId="57ADA8AF" w14:textId="77777777" w:rsidR="005C51E5" w:rsidRDefault="005C51E5" w:rsidP="0051500F">
            <w:r>
              <w:t>Number of sites</w:t>
            </w:r>
          </w:p>
        </w:tc>
        <w:tc>
          <w:tcPr>
            <w:tcW w:w="4815" w:type="dxa"/>
          </w:tcPr>
          <w:p w14:paraId="3C2D1D23" w14:textId="77777777" w:rsidR="005C51E5" w:rsidRDefault="005C51E5" w:rsidP="0051500F">
            <w:r>
              <w:t>7</w:t>
            </w:r>
          </w:p>
        </w:tc>
      </w:tr>
      <w:tr w:rsidR="005C51E5" w14:paraId="11E2AFBA" w14:textId="77777777" w:rsidTr="0051500F">
        <w:tc>
          <w:tcPr>
            <w:tcW w:w="4814" w:type="dxa"/>
          </w:tcPr>
          <w:p w14:paraId="50E5D896" w14:textId="77777777" w:rsidR="005C51E5" w:rsidRPr="0066705B" w:rsidRDefault="005C51E5" w:rsidP="0051500F">
            <w:pPr>
              <w:rPr>
                <w:lang w:val="en-US"/>
              </w:rPr>
            </w:pPr>
            <w:r w:rsidRPr="0066705B">
              <w:rPr>
                <w:lang w:val="en-US"/>
              </w:rPr>
              <w:t>Number of sectors per site</w:t>
            </w:r>
          </w:p>
        </w:tc>
        <w:tc>
          <w:tcPr>
            <w:tcW w:w="4815" w:type="dxa"/>
          </w:tcPr>
          <w:p w14:paraId="1CB2C956" w14:textId="77777777" w:rsidR="005C51E5" w:rsidRDefault="005C51E5" w:rsidP="0051500F">
            <w:r>
              <w:t>3</w:t>
            </w:r>
          </w:p>
        </w:tc>
      </w:tr>
      <w:tr w:rsidR="005C51E5" w14:paraId="2281AC56" w14:textId="77777777" w:rsidTr="0051500F">
        <w:tc>
          <w:tcPr>
            <w:tcW w:w="4814" w:type="dxa"/>
          </w:tcPr>
          <w:p w14:paraId="407C30FC" w14:textId="77777777" w:rsidR="005C51E5" w:rsidRDefault="005C51E5" w:rsidP="0051500F">
            <w:r>
              <w:t>Carrier frequency</w:t>
            </w:r>
          </w:p>
        </w:tc>
        <w:tc>
          <w:tcPr>
            <w:tcW w:w="4815" w:type="dxa"/>
          </w:tcPr>
          <w:p w14:paraId="77701926" w14:textId="299EAA7E" w:rsidR="005C51E5" w:rsidRDefault="009B7B2F" w:rsidP="0051500F">
            <w:r>
              <w:t>30</w:t>
            </w:r>
            <w:r w:rsidR="005C51E5">
              <w:t xml:space="preserve"> GHz</w:t>
            </w:r>
          </w:p>
        </w:tc>
      </w:tr>
      <w:tr w:rsidR="000B432B" w14:paraId="362AB15E" w14:textId="77777777" w:rsidTr="0051500F">
        <w:tc>
          <w:tcPr>
            <w:tcW w:w="4814" w:type="dxa"/>
          </w:tcPr>
          <w:p w14:paraId="0CB5B8C7" w14:textId="102EE740" w:rsidR="000B432B" w:rsidRDefault="000B432B" w:rsidP="0051500F">
            <w:r>
              <w:t>Carrier bandwidth</w:t>
            </w:r>
          </w:p>
        </w:tc>
        <w:tc>
          <w:tcPr>
            <w:tcW w:w="4815" w:type="dxa"/>
          </w:tcPr>
          <w:p w14:paraId="327E6663" w14:textId="27B7B4B8" w:rsidR="000B432B" w:rsidRDefault="000B432B" w:rsidP="0051500F">
            <w:r>
              <w:t>100MHz</w:t>
            </w:r>
          </w:p>
        </w:tc>
      </w:tr>
      <w:tr w:rsidR="000B432B" w14:paraId="380735FD" w14:textId="77777777" w:rsidTr="0051500F">
        <w:tc>
          <w:tcPr>
            <w:tcW w:w="4814" w:type="dxa"/>
          </w:tcPr>
          <w:p w14:paraId="691F9BAB" w14:textId="45D97403" w:rsidR="000B432B" w:rsidRDefault="000B432B" w:rsidP="0051500F">
            <w:r>
              <w:t>TDD ratio (DL:UL)</w:t>
            </w:r>
          </w:p>
        </w:tc>
        <w:tc>
          <w:tcPr>
            <w:tcW w:w="4815" w:type="dxa"/>
          </w:tcPr>
          <w:p w14:paraId="7CA3EEA5" w14:textId="231CDB1E" w:rsidR="000B432B" w:rsidRDefault="000B432B" w:rsidP="0051500F">
            <w:r>
              <w:t>3:1</w:t>
            </w:r>
          </w:p>
        </w:tc>
      </w:tr>
      <w:tr w:rsidR="005C51E5" w:rsidRPr="00926C3C" w14:paraId="5CFC9058" w14:textId="77777777" w:rsidTr="0051500F">
        <w:tc>
          <w:tcPr>
            <w:tcW w:w="4814" w:type="dxa"/>
          </w:tcPr>
          <w:p w14:paraId="63BD1783" w14:textId="77777777" w:rsidR="005C51E5" w:rsidRPr="00094D8F" w:rsidRDefault="005C51E5" w:rsidP="0051500F">
            <w:r w:rsidRPr="00094D8F">
              <w:rPr>
                <w:lang w:val="en-US"/>
              </w:rPr>
              <w:t>BS antenna configuration</w:t>
            </w:r>
          </w:p>
        </w:tc>
        <w:tc>
          <w:tcPr>
            <w:tcW w:w="4815" w:type="dxa"/>
          </w:tcPr>
          <w:p w14:paraId="683BE63D" w14:textId="7D77548A" w:rsidR="005C51E5" w:rsidRPr="0066705B" w:rsidRDefault="005C51E5" w:rsidP="0051500F">
            <w:pPr>
              <w:rPr>
                <w:lang w:val="en-US"/>
              </w:rPr>
            </w:pPr>
            <w:r w:rsidRPr="00094D8F">
              <w:rPr>
                <w:lang w:val="en-US"/>
              </w:rPr>
              <w:t>(M, N, P, Mg, Ng) = (</w:t>
            </w:r>
            <w:r w:rsidR="001D4830">
              <w:rPr>
                <w:lang w:val="en-US"/>
              </w:rPr>
              <w:t>16</w:t>
            </w:r>
            <w:r w:rsidRPr="00094D8F">
              <w:rPr>
                <w:lang w:val="en-US"/>
              </w:rPr>
              <w:t>,</w:t>
            </w:r>
            <w:r w:rsidR="001D4830">
              <w:rPr>
                <w:lang w:val="en-US"/>
              </w:rPr>
              <w:t>8</w:t>
            </w:r>
            <w:r w:rsidRPr="00094D8F">
              <w:rPr>
                <w:lang w:val="en-US"/>
              </w:rPr>
              <w:t xml:space="preserve">,2,1,1),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0B432B" w14:paraId="06DF192A" w14:textId="77777777" w:rsidTr="0051500F">
        <w:tc>
          <w:tcPr>
            <w:tcW w:w="4814" w:type="dxa"/>
          </w:tcPr>
          <w:p w14:paraId="73018F18" w14:textId="52FDD17C" w:rsidR="000B432B" w:rsidRPr="00094D8F" w:rsidRDefault="000B432B" w:rsidP="0051500F">
            <w:pPr>
              <w:rPr>
                <w:lang w:val="en-US"/>
              </w:rPr>
            </w:pPr>
            <w:r>
              <w:rPr>
                <w:lang w:val="en-US"/>
              </w:rPr>
              <w:t>UE Tx power (EIRP)</w:t>
            </w:r>
          </w:p>
        </w:tc>
        <w:tc>
          <w:tcPr>
            <w:tcW w:w="4815" w:type="dxa"/>
          </w:tcPr>
          <w:p w14:paraId="1DDB7332" w14:textId="431AEF40" w:rsidR="000B432B" w:rsidRPr="00094D8F" w:rsidRDefault="000B432B" w:rsidP="0051500F">
            <w:pPr>
              <w:rPr>
                <w:lang w:val="en-US"/>
              </w:rPr>
            </w:pPr>
            <w:r>
              <w:rPr>
                <w:lang w:val="en-US"/>
              </w:rPr>
              <w:t>26dBm</w:t>
            </w:r>
          </w:p>
        </w:tc>
      </w:tr>
      <w:tr w:rsidR="005C51E5" w:rsidRPr="00926C3C" w14:paraId="17C6235D" w14:textId="77777777" w:rsidTr="0051500F">
        <w:tc>
          <w:tcPr>
            <w:tcW w:w="4814" w:type="dxa"/>
          </w:tcPr>
          <w:p w14:paraId="603A662B" w14:textId="77777777" w:rsidR="005C51E5" w:rsidRPr="00094D8F" w:rsidRDefault="005C51E5" w:rsidP="0051500F">
            <w:r w:rsidRPr="00094D8F">
              <w:rPr>
                <w:lang w:val="en-US"/>
              </w:rPr>
              <w:t>UE antenna configuration</w:t>
            </w:r>
          </w:p>
        </w:tc>
        <w:tc>
          <w:tcPr>
            <w:tcW w:w="4815" w:type="dxa"/>
          </w:tcPr>
          <w:p w14:paraId="3B6E7688" w14:textId="1C82007B" w:rsidR="005C51E5" w:rsidRPr="00094D8F" w:rsidRDefault="005C51E5" w:rsidP="0051500F">
            <w:pPr>
              <w:pStyle w:val="BodyText"/>
              <w:jc w:val="left"/>
              <w:rPr>
                <w:rFonts w:ascii="Times New Roman" w:hAnsi="Times New Roman"/>
                <w:lang w:val="en-US"/>
              </w:rPr>
            </w:pPr>
            <w:r w:rsidRPr="00094D8F">
              <w:rPr>
                <w:rFonts w:ascii="Times New Roman" w:hAnsi="Times New Roman"/>
                <w:lang w:val="en-US"/>
              </w:rPr>
              <w:t>(M, N, P, Mg, Ng) = (</w:t>
            </w:r>
            <w:r w:rsidR="000B432B">
              <w:rPr>
                <w:rFonts w:ascii="Times New Roman" w:hAnsi="Times New Roman"/>
                <w:lang w:val="en-US"/>
              </w:rPr>
              <w:t>2</w:t>
            </w:r>
            <w:r w:rsidRPr="00094D8F">
              <w:rPr>
                <w:rFonts w:ascii="Times New Roman" w:hAnsi="Times New Roman"/>
                <w:lang w:val="en-US"/>
              </w:rPr>
              <w:t>,</w:t>
            </w:r>
            <w:r>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C51E5" w:rsidRPr="00926C3C" w14:paraId="10F03D35" w14:textId="77777777" w:rsidTr="0051500F">
        <w:tc>
          <w:tcPr>
            <w:tcW w:w="4814" w:type="dxa"/>
          </w:tcPr>
          <w:p w14:paraId="2747661A" w14:textId="77777777" w:rsidR="005C51E5" w:rsidRDefault="005C51E5" w:rsidP="0051500F">
            <w:r>
              <w:t xml:space="preserve">UE antenna panels layout </w:t>
            </w:r>
          </w:p>
        </w:tc>
        <w:tc>
          <w:tcPr>
            <w:tcW w:w="4815" w:type="dxa"/>
          </w:tcPr>
          <w:p w14:paraId="7924B993" w14:textId="0901EDF1" w:rsidR="000B432B" w:rsidRPr="0066705B" w:rsidRDefault="005C51E5" w:rsidP="000B432B">
            <w:pPr>
              <w:rPr>
                <w:lang w:val="en-US"/>
              </w:rPr>
            </w:pPr>
            <w:r w:rsidRPr="0066705B">
              <w:rPr>
                <w:lang w:val="en-US"/>
              </w:rPr>
              <w:t>2 panels</w:t>
            </w:r>
            <w:r w:rsidR="000B432B" w:rsidRPr="0066705B">
              <w:rPr>
                <w:lang w:val="en-US"/>
              </w:rPr>
              <w:t>,</w:t>
            </w:r>
            <w:r w:rsidRPr="0066705B">
              <w:rPr>
                <w:lang w:val="en-US"/>
              </w:rPr>
              <w:t xml:space="preserve"> orientation 0, 180 degrees</w:t>
            </w:r>
            <w:r w:rsidR="000B432B" w:rsidRPr="0066705B">
              <w:rPr>
                <w:lang w:val="en-US"/>
              </w:rPr>
              <w:br/>
              <w:t>4 panels, orientation 0,90,180,270 degrees</w:t>
            </w:r>
          </w:p>
        </w:tc>
      </w:tr>
      <w:tr w:rsidR="005C51E5" w14:paraId="1AA16E4B" w14:textId="77777777" w:rsidTr="0051500F">
        <w:tc>
          <w:tcPr>
            <w:tcW w:w="4814" w:type="dxa"/>
          </w:tcPr>
          <w:p w14:paraId="6B68D705" w14:textId="77777777" w:rsidR="005C51E5" w:rsidRPr="00F47220" w:rsidRDefault="005C51E5" w:rsidP="0051500F">
            <w:pPr>
              <w:rPr>
                <w:lang w:val="en-GB"/>
              </w:rPr>
            </w:pPr>
            <w:r>
              <w:rPr>
                <w:lang w:val="en-GB"/>
              </w:rPr>
              <w:t>DFT Beam oversampling factors (H &amp; V)</w:t>
            </w:r>
          </w:p>
        </w:tc>
        <w:tc>
          <w:tcPr>
            <w:tcW w:w="4815" w:type="dxa"/>
          </w:tcPr>
          <w:p w14:paraId="300DC092" w14:textId="70FBEB01" w:rsidR="005C51E5" w:rsidRPr="00F47220" w:rsidRDefault="005C51E5" w:rsidP="0051500F">
            <w:pPr>
              <w:rPr>
                <w:lang w:val="en-GB"/>
              </w:rPr>
            </w:pPr>
            <w:r>
              <w:rPr>
                <w:lang w:val="en-GB"/>
              </w:rPr>
              <w:t xml:space="preserve">2 &amp; </w:t>
            </w:r>
            <w:r w:rsidR="000B432B">
              <w:rPr>
                <w:lang w:val="en-GB"/>
              </w:rPr>
              <w:t>1</w:t>
            </w:r>
          </w:p>
        </w:tc>
      </w:tr>
      <w:tr w:rsidR="005C51E5" w14:paraId="2CB2C7EE" w14:textId="77777777" w:rsidTr="0051500F">
        <w:tc>
          <w:tcPr>
            <w:tcW w:w="4814" w:type="dxa"/>
          </w:tcPr>
          <w:p w14:paraId="3E10F123" w14:textId="77777777" w:rsidR="005C51E5" w:rsidRDefault="005C51E5" w:rsidP="0051500F">
            <w:r>
              <w:rPr>
                <w:lang w:val="en-GB"/>
              </w:rPr>
              <w:t xml:space="preserve">UE orientation </w:t>
            </w:r>
          </w:p>
        </w:tc>
        <w:tc>
          <w:tcPr>
            <w:tcW w:w="4815" w:type="dxa"/>
          </w:tcPr>
          <w:p w14:paraId="2AFFA6E7" w14:textId="77777777" w:rsidR="005C51E5" w:rsidRDefault="005C51E5" w:rsidP="0051500F">
            <w:r>
              <w:t>random</w:t>
            </w:r>
          </w:p>
        </w:tc>
      </w:tr>
    </w:tbl>
    <w:p w14:paraId="56BA3066"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9C50D" w14:textId="77777777" w:rsidR="0017502C" w:rsidRDefault="0017502C">
      <w:r>
        <w:separator/>
      </w:r>
    </w:p>
  </w:endnote>
  <w:endnote w:type="continuationSeparator" w:id="0">
    <w:p w14:paraId="19ED7769" w14:textId="77777777" w:rsidR="0017502C" w:rsidRDefault="0017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2885B98"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AA5CC" w14:textId="77777777" w:rsidR="0017502C" w:rsidRDefault="0017502C">
      <w:r>
        <w:separator/>
      </w:r>
    </w:p>
  </w:footnote>
  <w:footnote w:type="continuationSeparator" w:id="0">
    <w:p w14:paraId="31543D37" w14:textId="77777777" w:rsidR="0017502C" w:rsidRDefault="00175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167A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6E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C3E8F"/>
    <w:multiLevelType w:val="hybridMultilevel"/>
    <w:tmpl w:val="891A52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8D9"/>
    <w:rsid w:val="000A56F2"/>
    <w:rsid w:val="000B2719"/>
    <w:rsid w:val="000B3A8F"/>
    <w:rsid w:val="000B432B"/>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15F"/>
    <w:rsid w:val="001A6173"/>
    <w:rsid w:val="001A6CBA"/>
    <w:rsid w:val="001B0D97"/>
    <w:rsid w:val="001B5A5D"/>
    <w:rsid w:val="001C1CE5"/>
    <w:rsid w:val="001C3D2A"/>
    <w:rsid w:val="001D483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DBA"/>
    <w:rsid w:val="0028635D"/>
    <w:rsid w:val="00286ACD"/>
    <w:rsid w:val="00287838"/>
    <w:rsid w:val="002907B5"/>
    <w:rsid w:val="00292EB7"/>
    <w:rsid w:val="00296227"/>
    <w:rsid w:val="00296F44"/>
    <w:rsid w:val="0029777D"/>
    <w:rsid w:val="002A055E"/>
    <w:rsid w:val="002A1D4E"/>
    <w:rsid w:val="002A2869"/>
    <w:rsid w:val="002B24D6"/>
    <w:rsid w:val="002B30BC"/>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36F"/>
    <w:rsid w:val="00334579"/>
    <w:rsid w:val="00335858"/>
    <w:rsid w:val="00336BDA"/>
    <w:rsid w:val="00342BD7"/>
    <w:rsid w:val="00346DB5"/>
    <w:rsid w:val="003477B1"/>
    <w:rsid w:val="003532C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13C"/>
    <w:rsid w:val="004964F1"/>
    <w:rsid w:val="004A16BC"/>
    <w:rsid w:val="004A2B94"/>
    <w:rsid w:val="004B6915"/>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D5E"/>
    <w:rsid w:val="005935A4"/>
    <w:rsid w:val="005948C2"/>
    <w:rsid w:val="00595DCA"/>
    <w:rsid w:val="0059779B"/>
    <w:rsid w:val="005A209A"/>
    <w:rsid w:val="005A662D"/>
    <w:rsid w:val="005B1409"/>
    <w:rsid w:val="005B35D7"/>
    <w:rsid w:val="005B392A"/>
    <w:rsid w:val="005B3AA3"/>
    <w:rsid w:val="005B6F83"/>
    <w:rsid w:val="005C51E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05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205"/>
    <w:rsid w:val="006C03B8"/>
    <w:rsid w:val="006C5EC9"/>
    <w:rsid w:val="006C6059"/>
    <w:rsid w:val="006C7522"/>
    <w:rsid w:val="006D6F08"/>
    <w:rsid w:val="006E062C"/>
    <w:rsid w:val="006E1641"/>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EA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70A"/>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5A7"/>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A5"/>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C3C"/>
    <w:rsid w:val="00931BD9"/>
    <w:rsid w:val="009354C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B2F"/>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5894"/>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C16"/>
    <w:rsid w:val="00C3719D"/>
    <w:rsid w:val="00C37CB2"/>
    <w:rsid w:val="00C473A5"/>
    <w:rsid w:val="00C54995"/>
    <w:rsid w:val="00C54D41"/>
    <w:rsid w:val="00C60783"/>
    <w:rsid w:val="00C60F9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E8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A5F"/>
    <w:rsid w:val="00EA3DE0"/>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D2"/>
    <w:rsid w:val="00F93AA9"/>
    <w:rsid w:val="00F96985"/>
    <w:rsid w:val="00F97838"/>
    <w:rsid w:val="00FA2BB3"/>
    <w:rsid w:val="00FB2FC9"/>
    <w:rsid w:val="00FB4093"/>
    <w:rsid w:val="00FB4C80"/>
    <w:rsid w:val="00FB6A6A"/>
    <w:rsid w:val="00FC7429"/>
    <w:rsid w:val="00FD07F6"/>
    <w:rsid w:val="00FD1EC8"/>
    <w:rsid w:val="00FD47ED"/>
    <w:rsid w:val="00FD6C7D"/>
    <w:rsid w:val="00FD74DB"/>
    <w:rsid w:val="00FD7660"/>
    <w:rsid w:val="00FE0655"/>
    <w:rsid w:val="00FE2365"/>
    <w:rsid w:val="00FE37D7"/>
    <w:rsid w:val="00FE4C7B"/>
    <w:rsid w:val="00FE61A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005E2CD-129D-465C-9558-2821DFE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C3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26C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6C3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back-off</c:v>
                </c:pt>
              </c:strCache>
            </c:strRef>
          </c:tx>
          <c:spPr>
            <a:solidFill>
              <a:schemeClr val="accent1"/>
            </a:solidFill>
            <a:ln>
              <a:noFill/>
            </a:ln>
            <a:effectLst/>
          </c:spPr>
          <c:invertIfNegative val="0"/>
          <c:cat>
            <c:strRef>
              <c:f>Sheet1!$A$2:$A$3</c:f>
              <c:strCache>
                <c:ptCount val="2"/>
                <c:pt idx="0">
                  <c:v>2 Panels</c:v>
                </c:pt>
                <c:pt idx="1">
                  <c:v>4 panels</c:v>
                </c:pt>
              </c:strCache>
            </c:strRef>
          </c:cat>
          <c:val>
            <c:numRef>
              <c:f>Sheet1!$B$2:$B$3</c:f>
              <c:numCache>
                <c:formatCode>General</c:formatCode>
                <c:ptCount val="2"/>
                <c:pt idx="0">
                  <c:v>21.912311119582139</c:v>
                </c:pt>
                <c:pt idx="1">
                  <c:v>25.241241826087183</c:v>
                </c:pt>
              </c:numCache>
            </c:numRef>
          </c:val>
          <c:extLst>
            <c:ext xmlns:c16="http://schemas.microsoft.com/office/drawing/2014/chart" uri="{C3380CC4-5D6E-409C-BE32-E72D297353CC}">
              <c16:uniqueId val="{00000000-520D-47A2-8C97-A3BBCBE62CDE}"/>
            </c:ext>
          </c:extLst>
        </c:ser>
        <c:ser>
          <c:idx val="1"/>
          <c:order val="1"/>
          <c:tx>
            <c:strRef>
              <c:f>Sheet1!$C$1</c:f>
              <c:strCache>
                <c:ptCount val="1"/>
                <c:pt idx="0">
                  <c:v>7dB backoff</c:v>
                </c:pt>
              </c:strCache>
            </c:strRef>
          </c:tx>
          <c:spPr>
            <a:solidFill>
              <a:schemeClr val="accent2"/>
            </a:solidFill>
            <a:ln>
              <a:noFill/>
            </a:ln>
            <a:effectLst/>
          </c:spPr>
          <c:invertIfNegative val="0"/>
          <c:cat>
            <c:strRef>
              <c:f>Sheet1!$A$2:$A$3</c:f>
              <c:strCache>
                <c:ptCount val="2"/>
                <c:pt idx="0">
                  <c:v>2 Panels</c:v>
                </c:pt>
                <c:pt idx="1">
                  <c:v>4 panels</c:v>
                </c:pt>
              </c:strCache>
            </c:strRef>
          </c:cat>
          <c:val>
            <c:numRef>
              <c:f>Sheet1!$C$2:$C$3</c:f>
              <c:numCache>
                <c:formatCode>General</c:formatCode>
                <c:ptCount val="2"/>
                <c:pt idx="0">
                  <c:v>15.596497386582032</c:v>
                </c:pt>
                <c:pt idx="1">
                  <c:v>21.904800623460321</c:v>
                </c:pt>
              </c:numCache>
            </c:numRef>
          </c:val>
          <c:extLst>
            <c:ext xmlns:c16="http://schemas.microsoft.com/office/drawing/2014/chart" uri="{C3380CC4-5D6E-409C-BE32-E72D297353CC}">
              <c16:uniqueId val="{00000001-520D-47A2-8C97-A3BBCBE62CDE}"/>
            </c:ext>
          </c:extLst>
        </c:ser>
        <c:ser>
          <c:idx val="2"/>
          <c:order val="2"/>
          <c:tx>
            <c:strRef>
              <c:f>Sheet1!$D$1</c:f>
              <c:strCache>
                <c:ptCount val="1"/>
                <c:pt idx="0">
                  <c:v>7dB backoff - NW aware</c:v>
                </c:pt>
              </c:strCache>
            </c:strRef>
          </c:tx>
          <c:spPr>
            <a:solidFill>
              <a:schemeClr val="accent3"/>
            </a:solidFill>
            <a:ln>
              <a:noFill/>
            </a:ln>
            <a:effectLst/>
          </c:spPr>
          <c:invertIfNegative val="0"/>
          <c:cat>
            <c:strRef>
              <c:f>Sheet1!$A$2:$A$3</c:f>
              <c:strCache>
                <c:ptCount val="2"/>
                <c:pt idx="0">
                  <c:v>2 Panels</c:v>
                </c:pt>
                <c:pt idx="1">
                  <c:v>4 panels</c:v>
                </c:pt>
              </c:strCache>
            </c:strRef>
          </c:cat>
          <c:val>
            <c:numRef>
              <c:f>Sheet1!$D$2:$D$3</c:f>
              <c:numCache>
                <c:formatCode>General</c:formatCode>
                <c:ptCount val="2"/>
                <c:pt idx="0">
                  <c:v>17.062460677547655</c:v>
                </c:pt>
                <c:pt idx="1">
                  <c:v>23.268392643774728</c:v>
                </c:pt>
              </c:numCache>
            </c:numRef>
          </c:val>
          <c:extLst>
            <c:ext xmlns:c16="http://schemas.microsoft.com/office/drawing/2014/chart" uri="{C3380CC4-5D6E-409C-BE32-E72D297353CC}">
              <c16:uniqueId val="{00000002-520D-47A2-8C97-A3BBCBE62CDE}"/>
            </c:ext>
          </c:extLst>
        </c:ser>
        <c:ser>
          <c:idx val="3"/>
          <c:order val="3"/>
          <c:tx>
            <c:strRef>
              <c:f>Sheet1!$E$1</c:f>
              <c:strCache>
                <c:ptCount val="1"/>
                <c:pt idx="0">
                  <c:v>10db backoff</c:v>
                </c:pt>
              </c:strCache>
            </c:strRef>
          </c:tx>
          <c:spPr>
            <a:solidFill>
              <a:schemeClr val="accent4"/>
            </a:solidFill>
            <a:ln>
              <a:noFill/>
            </a:ln>
            <a:effectLst/>
          </c:spPr>
          <c:invertIfNegative val="0"/>
          <c:cat>
            <c:strRef>
              <c:f>Sheet1!$A$2:$A$3</c:f>
              <c:strCache>
                <c:ptCount val="2"/>
                <c:pt idx="0">
                  <c:v>2 Panels</c:v>
                </c:pt>
                <c:pt idx="1">
                  <c:v>4 panels</c:v>
                </c:pt>
              </c:strCache>
            </c:strRef>
          </c:cat>
          <c:val>
            <c:numRef>
              <c:f>Sheet1!$E$2:$E$3</c:f>
              <c:numCache>
                <c:formatCode>General</c:formatCode>
                <c:ptCount val="2"/>
                <c:pt idx="0">
                  <c:v>11.643760200454388</c:v>
                </c:pt>
                <c:pt idx="1">
                  <c:v>18.903356921906681</c:v>
                </c:pt>
              </c:numCache>
            </c:numRef>
          </c:val>
          <c:extLst>
            <c:ext xmlns:c16="http://schemas.microsoft.com/office/drawing/2014/chart" uri="{C3380CC4-5D6E-409C-BE32-E72D297353CC}">
              <c16:uniqueId val="{00000003-520D-47A2-8C97-A3BBCBE62CDE}"/>
            </c:ext>
          </c:extLst>
        </c:ser>
        <c:ser>
          <c:idx val="4"/>
          <c:order val="4"/>
          <c:tx>
            <c:strRef>
              <c:f>Sheet1!$F$1</c:f>
              <c:strCache>
                <c:ptCount val="1"/>
                <c:pt idx="0">
                  <c:v>10dB backoff - NW aware</c:v>
                </c:pt>
              </c:strCache>
            </c:strRef>
          </c:tx>
          <c:spPr>
            <a:solidFill>
              <a:schemeClr val="accent5"/>
            </a:solidFill>
            <a:ln>
              <a:noFill/>
            </a:ln>
            <a:effectLst/>
          </c:spPr>
          <c:invertIfNegative val="0"/>
          <c:cat>
            <c:strRef>
              <c:f>Sheet1!$A$2:$A$3</c:f>
              <c:strCache>
                <c:ptCount val="2"/>
                <c:pt idx="0">
                  <c:v>2 Panels</c:v>
                </c:pt>
                <c:pt idx="1">
                  <c:v>4 panels</c:v>
                </c:pt>
              </c:strCache>
            </c:strRef>
          </c:cat>
          <c:val>
            <c:numRef>
              <c:f>Sheet1!$F$2:$F$3</c:f>
              <c:numCache>
                <c:formatCode>General</c:formatCode>
                <c:ptCount val="2"/>
                <c:pt idx="0">
                  <c:v>15.484034403131629</c:v>
                </c:pt>
                <c:pt idx="1">
                  <c:v>23.137229347788132</c:v>
                </c:pt>
              </c:numCache>
            </c:numRef>
          </c:val>
          <c:extLst>
            <c:ext xmlns:c16="http://schemas.microsoft.com/office/drawing/2014/chart" uri="{C3380CC4-5D6E-409C-BE32-E72D297353CC}">
              <c16:uniqueId val="{00000004-520D-47A2-8C97-A3BBCBE62CDE}"/>
            </c:ext>
          </c:extLst>
        </c:ser>
        <c:dLbls>
          <c:showLegendKey val="0"/>
          <c:showVal val="0"/>
          <c:showCatName val="0"/>
          <c:showSerName val="0"/>
          <c:showPercent val="0"/>
          <c:showBubbleSize val="0"/>
        </c:dLbls>
        <c:gapWidth val="219"/>
        <c:overlap val="-27"/>
        <c:axId val="1304396376"/>
        <c:axId val="1304393752"/>
      </c:barChart>
      <c:catAx>
        <c:axId val="1304396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1304393752"/>
        <c:crosses val="autoZero"/>
        <c:auto val="1"/>
        <c:lblAlgn val="ctr"/>
        <c:lblOffset val="100"/>
        <c:noMultiLvlLbl val="0"/>
      </c:catAx>
      <c:valAx>
        <c:axId val="1304393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Cell-edge throughput</a:t>
                </a:r>
                <a:r>
                  <a:rPr lang="sv-SE" baseline="0"/>
                  <a:t> [Mbps]</a:t>
                </a:r>
                <a:endParaRPr lang="sv-SE"/>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1304396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back-off</c:v>
                </c:pt>
              </c:strCache>
            </c:strRef>
          </c:tx>
          <c:spPr>
            <a:solidFill>
              <a:schemeClr val="accent1"/>
            </a:solidFill>
            <a:ln>
              <a:noFill/>
            </a:ln>
            <a:effectLst/>
          </c:spPr>
          <c:invertIfNegative val="0"/>
          <c:cat>
            <c:strRef>
              <c:f>Sheet1!$A$2:$A$3</c:f>
              <c:strCache>
                <c:ptCount val="2"/>
                <c:pt idx="0">
                  <c:v>2 panels</c:v>
                </c:pt>
                <c:pt idx="1">
                  <c:v>4 panels</c:v>
                </c:pt>
              </c:strCache>
            </c:strRef>
          </c:cat>
          <c:val>
            <c:numRef>
              <c:f>Sheet1!$B$2:$B$3</c:f>
              <c:numCache>
                <c:formatCode>General</c:formatCode>
                <c:ptCount val="2"/>
                <c:pt idx="0">
                  <c:v>21.912311119582139</c:v>
                </c:pt>
                <c:pt idx="1">
                  <c:v>25.241241826087183</c:v>
                </c:pt>
              </c:numCache>
            </c:numRef>
          </c:val>
          <c:extLst>
            <c:ext xmlns:c16="http://schemas.microsoft.com/office/drawing/2014/chart" uri="{C3380CC4-5D6E-409C-BE32-E72D297353CC}">
              <c16:uniqueId val="{00000000-F907-459D-8618-4F21A6A3B5B1}"/>
            </c:ext>
          </c:extLst>
        </c:ser>
        <c:ser>
          <c:idx val="1"/>
          <c:order val="1"/>
          <c:tx>
            <c:strRef>
              <c:f>Sheet1!$C$1</c:f>
              <c:strCache>
                <c:ptCount val="1"/>
                <c:pt idx="0">
                  <c:v>7dB back-off</c:v>
                </c:pt>
              </c:strCache>
            </c:strRef>
          </c:tx>
          <c:spPr>
            <a:solidFill>
              <a:schemeClr val="accent2"/>
            </a:solidFill>
            <a:ln>
              <a:noFill/>
            </a:ln>
            <a:effectLst/>
          </c:spPr>
          <c:invertIfNegative val="0"/>
          <c:cat>
            <c:strRef>
              <c:f>Sheet1!$A$2:$A$3</c:f>
              <c:strCache>
                <c:ptCount val="2"/>
                <c:pt idx="0">
                  <c:v>2 panels</c:v>
                </c:pt>
                <c:pt idx="1">
                  <c:v>4 panels</c:v>
                </c:pt>
              </c:strCache>
            </c:strRef>
          </c:cat>
          <c:val>
            <c:numRef>
              <c:f>Sheet1!$C$2:$C$3</c:f>
              <c:numCache>
                <c:formatCode>General</c:formatCode>
                <c:ptCount val="2"/>
                <c:pt idx="0">
                  <c:v>12.994419322504664</c:v>
                </c:pt>
                <c:pt idx="1">
                  <c:v>23.210512599282865</c:v>
                </c:pt>
              </c:numCache>
            </c:numRef>
          </c:val>
          <c:extLst>
            <c:ext xmlns:c16="http://schemas.microsoft.com/office/drawing/2014/chart" uri="{C3380CC4-5D6E-409C-BE32-E72D297353CC}">
              <c16:uniqueId val="{00000001-F907-459D-8618-4F21A6A3B5B1}"/>
            </c:ext>
          </c:extLst>
        </c:ser>
        <c:ser>
          <c:idx val="2"/>
          <c:order val="2"/>
          <c:tx>
            <c:strRef>
              <c:f>Sheet1!$D$1</c:f>
              <c:strCache>
                <c:ptCount val="1"/>
                <c:pt idx="0">
                  <c:v>7dB back-off - NW aware</c:v>
                </c:pt>
              </c:strCache>
            </c:strRef>
          </c:tx>
          <c:spPr>
            <a:solidFill>
              <a:schemeClr val="accent3"/>
            </a:solidFill>
            <a:ln>
              <a:noFill/>
            </a:ln>
            <a:effectLst/>
          </c:spPr>
          <c:invertIfNegative val="0"/>
          <c:cat>
            <c:strRef>
              <c:f>Sheet1!$A$2:$A$3</c:f>
              <c:strCache>
                <c:ptCount val="2"/>
                <c:pt idx="0">
                  <c:v>2 panels</c:v>
                </c:pt>
                <c:pt idx="1">
                  <c:v>4 panels</c:v>
                </c:pt>
              </c:strCache>
            </c:strRef>
          </c:cat>
          <c:val>
            <c:numRef>
              <c:f>Sheet1!$D$2:$D$3</c:f>
              <c:numCache>
                <c:formatCode>General</c:formatCode>
                <c:ptCount val="2"/>
                <c:pt idx="0">
                  <c:v>15.141193741831911</c:v>
                </c:pt>
                <c:pt idx="1">
                  <c:v>23.166179957765216</c:v>
                </c:pt>
              </c:numCache>
            </c:numRef>
          </c:val>
          <c:extLst>
            <c:ext xmlns:c16="http://schemas.microsoft.com/office/drawing/2014/chart" uri="{C3380CC4-5D6E-409C-BE32-E72D297353CC}">
              <c16:uniqueId val="{00000002-F907-459D-8618-4F21A6A3B5B1}"/>
            </c:ext>
          </c:extLst>
        </c:ser>
        <c:ser>
          <c:idx val="3"/>
          <c:order val="3"/>
          <c:tx>
            <c:strRef>
              <c:f>Sheet1!$E$1</c:f>
              <c:strCache>
                <c:ptCount val="1"/>
                <c:pt idx="0">
                  <c:v>10dB back-off</c:v>
                </c:pt>
              </c:strCache>
            </c:strRef>
          </c:tx>
          <c:spPr>
            <a:solidFill>
              <a:schemeClr val="accent4"/>
            </a:solidFill>
            <a:ln>
              <a:noFill/>
            </a:ln>
            <a:effectLst/>
          </c:spPr>
          <c:invertIfNegative val="0"/>
          <c:cat>
            <c:strRef>
              <c:f>Sheet1!$A$2:$A$3</c:f>
              <c:strCache>
                <c:ptCount val="2"/>
                <c:pt idx="0">
                  <c:v>2 panels</c:v>
                </c:pt>
                <c:pt idx="1">
                  <c:v>4 panels</c:v>
                </c:pt>
              </c:strCache>
            </c:strRef>
          </c:cat>
          <c:val>
            <c:numRef>
              <c:f>Sheet1!$E$2:$E$3</c:f>
              <c:numCache>
                <c:formatCode>General</c:formatCode>
                <c:ptCount val="2"/>
                <c:pt idx="0">
                  <c:v>10.275817111255071</c:v>
                </c:pt>
                <c:pt idx="1">
                  <c:v>23.207589042567772</c:v>
                </c:pt>
              </c:numCache>
            </c:numRef>
          </c:val>
          <c:extLst>
            <c:ext xmlns:c16="http://schemas.microsoft.com/office/drawing/2014/chart" uri="{C3380CC4-5D6E-409C-BE32-E72D297353CC}">
              <c16:uniqueId val="{00000003-F907-459D-8618-4F21A6A3B5B1}"/>
            </c:ext>
          </c:extLst>
        </c:ser>
        <c:ser>
          <c:idx val="4"/>
          <c:order val="4"/>
          <c:tx>
            <c:strRef>
              <c:f>Sheet1!$F$1</c:f>
              <c:strCache>
                <c:ptCount val="1"/>
                <c:pt idx="0">
                  <c:v>10dB back-off - NW aware</c:v>
                </c:pt>
              </c:strCache>
            </c:strRef>
          </c:tx>
          <c:spPr>
            <a:solidFill>
              <a:schemeClr val="accent5"/>
            </a:solidFill>
            <a:ln>
              <a:noFill/>
            </a:ln>
            <a:effectLst/>
          </c:spPr>
          <c:invertIfNegative val="0"/>
          <c:cat>
            <c:strRef>
              <c:f>Sheet1!$A$2:$A$3</c:f>
              <c:strCache>
                <c:ptCount val="2"/>
                <c:pt idx="0">
                  <c:v>2 panels</c:v>
                </c:pt>
                <c:pt idx="1">
                  <c:v>4 panels</c:v>
                </c:pt>
              </c:strCache>
            </c:strRef>
          </c:cat>
          <c:val>
            <c:numRef>
              <c:f>Sheet1!$F$2:$F$3</c:f>
              <c:numCache>
                <c:formatCode>General</c:formatCode>
                <c:ptCount val="2"/>
                <c:pt idx="0">
                  <c:v>14.494741456992383</c:v>
                </c:pt>
                <c:pt idx="1">
                  <c:v>23.158765573880039</c:v>
                </c:pt>
              </c:numCache>
            </c:numRef>
          </c:val>
          <c:extLst>
            <c:ext xmlns:c16="http://schemas.microsoft.com/office/drawing/2014/chart" uri="{C3380CC4-5D6E-409C-BE32-E72D297353CC}">
              <c16:uniqueId val="{00000004-F907-459D-8618-4F21A6A3B5B1}"/>
            </c:ext>
          </c:extLst>
        </c:ser>
        <c:dLbls>
          <c:showLegendKey val="0"/>
          <c:showVal val="0"/>
          <c:showCatName val="0"/>
          <c:showSerName val="0"/>
          <c:showPercent val="0"/>
          <c:showBubbleSize val="0"/>
        </c:dLbls>
        <c:gapWidth val="219"/>
        <c:overlap val="-27"/>
        <c:axId val="831069184"/>
        <c:axId val="831066560"/>
      </c:barChart>
      <c:catAx>
        <c:axId val="83106918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31066560"/>
        <c:crosses val="autoZero"/>
        <c:auto val="1"/>
        <c:lblAlgn val="ctr"/>
        <c:lblOffset val="100"/>
        <c:noMultiLvlLbl val="0"/>
      </c:catAx>
      <c:valAx>
        <c:axId val="831066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Cell-edge throughput [Mbps]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31069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7616F-E6AA-48B0-901C-FF07FBFD8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4CA56A8-5BAF-4864-A499-EB5163A9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5</Pages>
  <Words>1148</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Claes Tidestav</cp:lastModifiedBy>
  <cp:revision>17</cp:revision>
  <cp:lastPrinted>2008-01-31T07:09:00Z</cp:lastPrinted>
  <dcterms:created xsi:type="dcterms:W3CDTF">2019-05-02T05:40:00Z</dcterms:created>
  <dcterms:modified xsi:type="dcterms:W3CDTF">2019-05-03T13:45:00Z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